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1B1D" w14:textId="0EACC6C2" w:rsidR="000425EC" w:rsidRDefault="009A091A" w:rsidP="009A091A">
      <w:pPr>
        <w:rPr>
          <w:b/>
          <w:bCs/>
        </w:rPr>
      </w:pPr>
      <w:r w:rsidRPr="009A091A">
        <w:rPr>
          <w:b/>
          <w:bCs/>
        </w:rPr>
        <w:t>ORGANIZATIVA</w:t>
      </w:r>
    </w:p>
    <w:p w14:paraId="1551B9F3" w14:textId="05A2D2FA" w:rsidR="009A091A" w:rsidRPr="009A091A" w:rsidRDefault="009A091A" w:rsidP="009A091A">
      <w:pPr>
        <w:rPr>
          <w:b/>
          <w:bCs/>
        </w:rPr>
      </w:pPr>
      <w:r>
        <w:rPr>
          <w:b/>
          <w:bCs/>
        </w:rPr>
        <w:t>Creación, modificación, participación y extinción de la sociedad.</w:t>
      </w:r>
    </w:p>
    <w:p w14:paraId="5179235E" w14:textId="2F4EA74A" w:rsidR="009A091A" w:rsidRDefault="009A091A" w:rsidP="009A091A"/>
    <w:p w14:paraId="77748910" w14:textId="74B73DC4" w:rsidR="009A091A" w:rsidRDefault="009A091A" w:rsidP="009A091A">
      <w:r>
        <w:t>Modificación de Estatutos del 20-10-2022</w:t>
      </w:r>
    </w:p>
    <w:p w14:paraId="34C9784C" w14:textId="3018CB42" w:rsidR="009A091A" w:rsidRDefault="009A091A" w:rsidP="009A091A"/>
    <w:p w14:paraId="11320730" w14:textId="77777777" w:rsidR="009A091A" w:rsidRPr="005F0D7D" w:rsidRDefault="009A091A" w:rsidP="009A091A">
      <w:pPr>
        <w:contextualSpacing/>
        <w:jc w:val="both"/>
        <w:rPr>
          <w:rFonts w:ascii="Arial" w:eastAsia="Times New Roman" w:hAnsi="Arial" w:cs="Arial"/>
          <w:bCs/>
          <w:color w:val="4C4C4C"/>
          <w:sz w:val="20"/>
          <w:szCs w:val="20"/>
          <w:lang w:eastAsia="es-ES_tradnl"/>
        </w:rPr>
      </w:pPr>
      <w:r w:rsidRPr="006A29E7">
        <w:rPr>
          <w:rFonts w:ascii="Arial" w:eastAsia="Times New Roman" w:hAnsi="Arial" w:cs="Arial"/>
          <w:b/>
          <w:color w:val="4C4C4C"/>
          <w:sz w:val="20"/>
          <w:szCs w:val="20"/>
          <w:lang w:eastAsia="es-ES_tradnl"/>
        </w:rPr>
        <w:t>Modificación del artículo 37 de los Estatutos Sociales de la Fundación, acerca de la “Liquidación y adjudicación del haber”.</w:t>
      </w:r>
    </w:p>
    <w:p w14:paraId="474A8618" w14:textId="77777777" w:rsidR="009A091A" w:rsidRPr="005F0D7D" w:rsidRDefault="009A091A" w:rsidP="009A091A">
      <w:pPr>
        <w:contextualSpacing/>
        <w:jc w:val="both"/>
        <w:rPr>
          <w:rFonts w:ascii="Arial" w:eastAsia="Times New Roman" w:hAnsi="Arial" w:cs="Arial"/>
          <w:bCs/>
          <w:color w:val="4C4C4C"/>
          <w:sz w:val="20"/>
          <w:szCs w:val="20"/>
          <w:lang w:eastAsia="es-ES_tradnl"/>
        </w:rPr>
      </w:pPr>
    </w:p>
    <w:p w14:paraId="11070F67" w14:textId="77777777" w:rsidR="009A091A" w:rsidRPr="005F0D7D" w:rsidRDefault="009A091A" w:rsidP="009A091A">
      <w:pPr>
        <w:rPr>
          <w:rFonts w:ascii="Arial" w:eastAsia="Times New Roman" w:hAnsi="Arial" w:cs="Arial"/>
          <w:bCs/>
          <w:color w:val="4C4C4C"/>
          <w:sz w:val="20"/>
          <w:szCs w:val="20"/>
          <w:lang w:eastAsia="es-ES_tradnl"/>
        </w:rPr>
      </w:pPr>
    </w:p>
    <w:p w14:paraId="56E69D3C" w14:textId="77777777" w:rsidR="009A091A" w:rsidRDefault="009A091A" w:rsidP="009A091A">
      <w:pPr>
        <w:jc w:val="both"/>
        <w:rPr>
          <w:rFonts w:ascii="Arial" w:eastAsia="Times New Roman" w:hAnsi="Arial" w:cs="Arial"/>
          <w:bCs/>
          <w:color w:val="4C4C4C"/>
          <w:sz w:val="20"/>
          <w:szCs w:val="20"/>
          <w:lang w:eastAsia="es-ES_tradnl"/>
        </w:rPr>
      </w:pPr>
      <w:r>
        <w:rPr>
          <w:rFonts w:ascii="Arial" w:eastAsia="Times New Roman" w:hAnsi="Arial" w:cs="Arial"/>
          <w:bCs/>
          <w:color w:val="4C4C4C"/>
          <w:sz w:val="20"/>
          <w:szCs w:val="20"/>
          <w:lang w:eastAsia="es-ES_tradnl"/>
        </w:rPr>
        <w:t>Habiéndose planteado la posible extinción de la Fundación y la consiguiente liquidación y adjudicación del haber, ha surgido la necesidad de modificar los Estatutos de la Fundación y, más concretamente, el art. 37 en el que se regula precisamente ésta última cuestión con el fin de poder adjudicar los bienes y derechos de la Fundación al Excmo. Cabildo Insular de Tenerife como entidad pública de interés general.</w:t>
      </w:r>
    </w:p>
    <w:p w14:paraId="682AF730" w14:textId="77777777" w:rsidR="009A091A" w:rsidRDefault="009A091A" w:rsidP="009A091A">
      <w:pPr>
        <w:jc w:val="both"/>
        <w:rPr>
          <w:rFonts w:ascii="Arial" w:eastAsia="Times New Roman" w:hAnsi="Arial" w:cs="Arial"/>
          <w:bCs/>
          <w:color w:val="4C4C4C"/>
          <w:sz w:val="20"/>
          <w:szCs w:val="20"/>
          <w:lang w:eastAsia="es-ES_tradnl"/>
        </w:rPr>
      </w:pPr>
    </w:p>
    <w:p w14:paraId="5359D7F5" w14:textId="77777777" w:rsidR="009A091A" w:rsidRDefault="009A091A" w:rsidP="009A091A">
      <w:pPr>
        <w:jc w:val="both"/>
        <w:rPr>
          <w:rFonts w:ascii="Arial" w:eastAsia="Times New Roman" w:hAnsi="Arial" w:cs="Arial"/>
          <w:bCs/>
          <w:color w:val="4C4C4C"/>
          <w:sz w:val="20"/>
          <w:szCs w:val="20"/>
          <w:lang w:eastAsia="es-ES_tradnl"/>
        </w:rPr>
      </w:pPr>
      <w:r>
        <w:rPr>
          <w:rFonts w:ascii="Arial" w:eastAsia="Times New Roman" w:hAnsi="Arial" w:cs="Arial"/>
          <w:bCs/>
          <w:color w:val="4C4C4C"/>
          <w:sz w:val="20"/>
          <w:szCs w:val="20"/>
          <w:lang w:eastAsia="es-ES_tradnl"/>
        </w:rPr>
        <w:t>A tal efecto, se acuerda por unanimidad modificar el citado artículo 37 de los Estatutos de la Fundación, que pasa a tener la siguiente redacción:</w:t>
      </w:r>
    </w:p>
    <w:p w14:paraId="38BEC4F2" w14:textId="77777777" w:rsidR="009A091A" w:rsidRDefault="009A091A" w:rsidP="009A091A">
      <w:pPr>
        <w:jc w:val="both"/>
        <w:rPr>
          <w:rFonts w:ascii="Arial" w:eastAsia="Times New Roman" w:hAnsi="Arial" w:cs="Arial"/>
          <w:bCs/>
          <w:color w:val="4C4C4C"/>
          <w:sz w:val="20"/>
          <w:szCs w:val="20"/>
          <w:lang w:eastAsia="es-ES_tradnl"/>
        </w:rPr>
      </w:pPr>
    </w:p>
    <w:p w14:paraId="099643D2" w14:textId="77777777" w:rsidR="009A091A" w:rsidRPr="00B0179A" w:rsidRDefault="009A091A" w:rsidP="009A091A">
      <w:pPr>
        <w:jc w:val="both"/>
        <w:rPr>
          <w:rFonts w:ascii="Arial" w:eastAsia="Times New Roman" w:hAnsi="Arial" w:cs="Arial"/>
          <w:b/>
          <w:bCs/>
          <w:i/>
          <w:color w:val="4C4C4C"/>
          <w:sz w:val="20"/>
          <w:szCs w:val="20"/>
          <w:u w:val="single"/>
          <w:lang w:eastAsia="es-ES_tradnl"/>
        </w:rPr>
      </w:pPr>
      <w:r w:rsidRPr="00B0179A">
        <w:rPr>
          <w:rFonts w:ascii="Arial" w:eastAsia="Times New Roman" w:hAnsi="Arial" w:cs="Arial"/>
          <w:b/>
          <w:bCs/>
          <w:i/>
          <w:color w:val="4C4C4C"/>
          <w:sz w:val="20"/>
          <w:szCs w:val="20"/>
          <w:lang w:eastAsia="es-ES_tradnl"/>
        </w:rPr>
        <w:t xml:space="preserve">“Artículo 37.- </w:t>
      </w:r>
      <w:r w:rsidRPr="00B0179A">
        <w:rPr>
          <w:rFonts w:ascii="Arial" w:eastAsia="Times New Roman" w:hAnsi="Arial" w:cs="Arial"/>
          <w:b/>
          <w:bCs/>
          <w:i/>
          <w:color w:val="4C4C4C"/>
          <w:sz w:val="20"/>
          <w:szCs w:val="20"/>
          <w:u w:val="single"/>
          <w:lang w:eastAsia="es-ES_tradnl"/>
        </w:rPr>
        <w:t>Liquidación y adjudicación del haber.</w:t>
      </w:r>
    </w:p>
    <w:p w14:paraId="64B482D6" w14:textId="77777777" w:rsidR="009A091A" w:rsidRPr="00B0179A" w:rsidRDefault="009A091A" w:rsidP="009A091A">
      <w:pPr>
        <w:jc w:val="both"/>
        <w:rPr>
          <w:rFonts w:ascii="Arial" w:eastAsia="Times New Roman" w:hAnsi="Arial" w:cs="Arial"/>
          <w:b/>
          <w:bCs/>
          <w:i/>
          <w:color w:val="4C4C4C"/>
          <w:sz w:val="20"/>
          <w:szCs w:val="20"/>
          <w:u w:val="single"/>
          <w:lang w:eastAsia="es-ES_tradnl"/>
        </w:rPr>
      </w:pPr>
    </w:p>
    <w:p w14:paraId="7C0C4ABE" w14:textId="77777777" w:rsidR="009A091A" w:rsidRPr="00B0179A" w:rsidRDefault="009A091A" w:rsidP="009A091A">
      <w:pPr>
        <w:jc w:val="both"/>
        <w:rPr>
          <w:rFonts w:ascii="Arial" w:eastAsia="Times New Roman" w:hAnsi="Arial" w:cs="Arial"/>
          <w:bCs/>
          <w:i/>
          <w:color w:val="4C4C4C"/>
          <w:sz w:val="20"/>
          <w:szCs w:val="20"/>
          <w:lang w:eastAsia="es-ES_tradnl"/>
        </w:rPr>
      </w:pPr>
      <w:r w:rsidRPr="00B0179A">
        <w:rPr>
          <w:rFonts w:ascii="Arial" w:eastAsia="Times New Roman" w:hAnsi="Arial" w:cs="Arial"/>
          <w:bCs/>
          <w:i/>
          <w:color w:val="4C4C4C"/>
          <w:sz w:val="20"/>
          <w:szCs w:val="20"/>
          <w:lang w:eastAsia="es-ES_tradnl"/>
        </w:rPr>
        <w:t>La extinción de la Fundación determinará la apertura del procedimiento de liquidación que se realizará por el Patronato bajo el control del Protectorado de Fundaciones Canarias.</w:t>
      </w:r>
    </w:p>
    <w:p w14:paraId="7E9C56A7" w14:textId="77777777" w:rsidR="009A091A" w:rsidRPr="00B0179A" w:rsidRDefault="009A091A" w:rsidP="009A091A">
      <w:pPr>
        <w:jc w:val="both"/>
        <w:rPr>
          <w:rFonts w:ascii="Arial" w:eastAsia="Times New Roman" w:hAnsi="Arial" w:cs="Arial"/>
          <w:bCs/>
          <w:i/>
          <w:color w:val="4C4C4C"/>
          <w:sz w:val="20"/>
          <w:szCs w:val="20"/>
          <w:lang w:eastAsia="es-ES_tradnl"/>
        </w:rPr>
      </w:pPr>
    </w:p>
    <w:p w14:paraId="4EB539C8" w14:textId="77777777" w:rsidR="009A091A" w:rsidRPr="00B0179A" w:rsidRDefault="009A091A" w:rsidP="009A091A">
      <w:pPr>
        <w:jc w:val="both"/>
        <w:rPr>
          <w:rFonts w:ascii="Arial" w:eastAsia="Times New Roman" w:hAnsi="Arial" w:cs="Arial"/>
          <w:bCs/>
          <w:i/>
          <w:color w:val="4C4C4C"/>
          <w:sz w:val="20"/>
          <w:szCs w:val="20"/>
          <w:lang w:eastAsia="es-ES_tradnl"/>
        </w:rPr>
      </w:pPr>
      <w:r w:rsidRPr="00B0179A">
        <w:rPr>
          <w:rFonts w:ascii="Arial" w:eastAsia="Times New Roman" w:hAnsi="Arial" w:cs="Arial"/>
          <w:bCs/>
          <w:i/>
          <w:color w:val="4C4C4C"/>
          <w:sz w:val="20"/>
          <w:szCs w:val="20"/>
          <w:lang w:eastAsia="es-ES_tradnl"/>
        </w:rPr>
        <w:t>Los bienes y derechos resultantes de la liquidación se destinarán a fundaciones u otras instituciones que acuerde el patronato y que persigan fines de interés general análogos a los de la Fundación y que tengan afectados sus bienes, incluso para el supuesto de su disolución, a la consecución de aquellos. Queda expresamente autorizado el Patronato para realizar dicha aplicación.</w:t>
      </w:r>
    </w:p>
    <w:p w14:paraId="197683E7" w14:textId="77777777" w:rsidR="009A091A" w:rsidRPr="00B0179A" w:rsidRDefault="009A091A" w:rsidP="009A091A">
      <w:pPr>
        <w:jc w:val="both"/>
        <w:rPr>
          <w:rFonts w:ascii="Arial" w:eastAsia="Times New Roman" w:hAnsi="Arial" w:cs="Arial"/>
          <w:bCs/>
          <w:i/>
          <w:color w:val="4C4C4C"/>
          <w:sz w:val="20"/>
          <w:szCs w:val="20"/>
          <w:lang w:eastAsia="es-ES_tradnl"/>
        </w:rPr>
      </w:pPr>
    </w:p>
    <w:p w14:paraId="72AEEB03" w14:textId="77777777" w:rsidR="009A091A" w:rsidRPr="00B0179A" w:rsidRDefault="009A091A" w:rsidP="009A091A">
      <w:pPr>
        <w:jc w:val="both"/>
        <w:rPr>
          <w:rFonts w:ascii="Arial" w:eastAsia="Times New Roman" w:hAnsi="Arial" w:cs="Arial"/>
          <w:bCs/>
          <w:i/>
          <w:color w:val="4C4C4C"/>
          <w:sz w:val="20"/>
          <w:szCs w:val="20"/>
          <w:lang w:eastAsia="es-ES_tradnl"/>
        </w:rPr>
      </w:pPr>
      <w:r w:rsidRPr="00B0179A">
        <w:rPr>
          <w:rFonts w:ascii="Arial" w:eastAsia="Times New Roman" w:hAnsi="Arial" w:cs="Arial"/>
          <w:bCs/>
          <w:i/>
          <w:color w:val="4C4C4C"/>
          <w:sz w:val="20"/>
          <w:szCs w:val="20"/>
          <w:lang w:eastAsia="es-ES_tradnl"/>
        </w:rPr>
        <w:t>Sin perjuicio de lo establecido en el párrafo anterior, la Fundación podrá destinar los bienes y derechos resultantes de la liquidación a entidades públicas, de naturaleza no fundacional, que persigan fines de interés general.”</w:t>
      </w:r>
    </w:p>
    <w:p w14:paraId="3B7AD7D6" w14:textId="77777777" w:rsidR="009A091A" w:rsidRPr="00B0179A" w:rsidRDefault="009A091A" w:rsidP="009A091A">
      <w:pPr>
        <w:jc w:val="both"/>
        <w:rPr>
          <w:rFonts w:ascii="Arial" w:eastAsia="Times New Roman" w:hAnsi="Arial" w:cs="Arial"/>
          <w:bCs/>
          <w:i/>
          <w:color w:val="4C4C4C"/>
          <w:sz w:val="20"/>
          <w:szCs w:val="20"/>
          <w:lang w:eastAsia="es-ES_tradnl"/>
        </w:rPr>
      </w:pPr>
    </w:p>
    <w:p w14:paraId="72B70F6C" w14:textId="77777777" w:rsidR="009A091A" w:rsidRDefault="009A091A" w:rsidP="009A091A">
      <w:pPr>
        <w:jc w:val="both"/>
        <w:rPr>
          <w:rFonts w:ascii="Arial" w:eastAsia="Times New Roman" w:hAnsi="Arial" w:cs="Arial"/>
          <w:bCs/>
          <w:color w:val="4C4C4C"/>
          <w:sz w:val="20"/>
          <w:szCs w:val="20"/>
          <w:lang w:eastAsia="es-ES_tradnl"/>
        </w:rPr>
      </w:pPr>
    </w:p>
    <w:p w14:paraId="73D7848A" w14:textId="77777777" w:rsidR="009A091A" w:rsidRPr="00340E0B" w:rsidRDefault="009A091A" w:rsidP="009A091A">
      <w:pPr>
        <w:jc w:val="both"/>
        <w:rPr>
          <w:rFonts w:ascii="Arial" w:eastAsia="Times New Roman" w:hAnsi="Arial" w:cs="Arial"/>
          <w:bCs/>
          <w:color w:val="4C4C4C"/>
          <w:sz w:val="20"/>
          <w:szCs w:val="20"/>
          <w:lang w:eastAsia="es-ES_tradnl"/>
        </w:rPr>
      </w:pPr>
      <w:r w:rsidRPr="00A8280A">
        <w:rPr>
          <w:rFonts w:ascii="Arial" w:eastAsia="Times New Roman" w:hAnsi="Arial" w:cs="Arial"/>
          <w:bCs/>
          <w:color w:val="4C4C4C"/>
          <w:sz w:val="20"/>
          <w:szCs w:val="20"/>
          <w:lang w:eastAsia="es-ES_tradnl"/>
        </w:rPr>
        <w:t>La modificación aprobada no tiene efectos económicos sobre el presupuesto de la Fundación, por lo que no se entiende necesario un estudio de viabilidad.</w:t>
      </w:r>
    </w:p>
    <w:p w14:paraId="423A800A" w14:textId="77777777" w:rsidR="009A091A" w:rsidRPr="009A091A" w:rsidRDefault="009A091A" w:rsidP="009A091A"/>
    <w:sectPr w:rsidR="009A091A" w:rsidRPr="009A091A" w:rsidSect="006C1B9B">
      <w:headerReference w:type="default" r:id="rId8"/>
      <w:footerReference w:type="default" r:id="rId9"/>
      <w:pgSz w:w="11906" w:h="16838"/>
      <w:pgMar w:top="1951" w:right="991"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FA60" w14:textId="77777777" w:rsidR="009218D4" w:rsidRDefault="009218D4" w:rsidP="00011E81">
      <w:pPr>
        <w:spacing w:line="240" w:lineRule="auto"/>
      </w:pPr>
      <w:r>
        <w:separator/>
      </w:r>
    </w:p>
  </w:endnote>
  <w:endnote w:type="continuationSeparator" w:id="0">
    <w:p w14:paraId="0E8ACE7E" w14:textId="77777777" w:rsidR="009218D4" w:rsidRDefault="009218D4" w:rsidP="00011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lanoGrotesque-Bold">
    <w:altName w:val="Arial"/>
    <w:panose1 w:val="00000000000000000000"/>
    <w:charset w:val="00"/>
    <w:family w:val="modern"/>
    <w:notTrueType/>
    <w:pitch w:val="variable"/>
    <w:sig w:usb0="00000001" w:usb1="00000000" w:usb2="00000000" w:usb3="00000000" w:csb0="00000093" w:csb1="00000000"/>
  </w:font>
  <w:font w:name="GalanoGrotesque-Light">
    <w:altName w:val="Arial"/>
    <w:panose1 w:val="00000000000000000000"/>
    <w:charset w:val="00"/>
    <w:family w:val="modern"/>
    <w:notTrueType/>
    <w:pitch w:val="variable"/>
    <w:sig w:usb0="00000001" w:usb1="00000000" w:usb2="00000000" w:usb3="00000000" w:csb0="00000093" w:csb1="00000000"/>
  </w:font>
  <w:font w:name="GalanoGrotesque-Medium">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54C" w14:textId="77777777" w:rsidR="005F38CE" w:rsidRDefault="005F38CE" w:rsidP="005F38CE">
    <w:pPr>
      <w:pStyle w:val="Piedepgina"/>
      <w:jc w:val="center"/>
      <w:rPr>
        <w:rFonts w:ascii="Calibri" w:hAnsi="Calibri"/>
        <w:color w:val="4C4C4C"/>
        <w:sz w:val="16"/>
        <w:szCs w:val="16"/>
      </w:rPr>
    </w:pPr>
  </w:p>
  <w:p w14:paraId="4B263ABC" w14:textId="77777777" w:rsidR="005F38CE" w:rsidRDefault="00816CD6" w:rsidP="005F38CE">
    <w:pPr>
      <w:pStyle w:val="Piedepgina"/>
      <w:jc w:val="center"/>
      <w:rPr>
        <w:rFonts w:ascii="Calibri" w:hAnsi="Calibri"/>
        <w:color w:val="4C4C4C"/>
        <w:sz w:val="16"/>
        <w:szCs w:val="16"/>
      </w:rPr>
    </w:pPr>
    <w:r>
      <w:rPr>
        <w:rFonts w:ascii="GalanoGrotesque-Light" w:hAnsi="GalanoGrotesque-Light"/>
        <w:noProof/>
        <w:color w:val="4C4C4C"/>
        <w:sz w:val="18"/>
        <w:szCs w:val="18"/>
        <w:lang w:eastAsia="es-ES"/>
      </w:rPr>
      <mc:AlternateContent>
        <mc:Choice Requires="wps">
          <w:drawing>
            <wp:anchor distT="0" distB="0" distL="114300" distR="114300" simplePos="0" relativeHeight="251659264" behindDoc="1" locked="0" layoutInCell="1" allowOverlap="1" wp14:anchorId="7AF82029" wp14:editId="1BF6C8EC">
              <wp:simplePos x="0" y="0"/>
              <wp:positionH relativeFrom="column">
                <wp:posOffset>-1274445</wp:posOffset>
              </wp:positionH>
              <wp:positionV relativeFrom="paragraph">
                <wp:posOffset>45720</wp:posOffset>
              </wp:positionV>
              <wp:extent cx="8216265" cy="404495"/>
              <wp:effectExtent l="0" t="0" r="0" b="0"/>
              <wp:wrapNone/>
              <wp:docPr id="10" name="10 Rectángulo"/>
              <wp:cNvGraphicFramePr/>
              <a:graphic xmlns:a="http://schemas.openxmlformats.org/drawingml/2006/main">
                <a:graphicData uri="http://schemas.microsoft.com/office/word/2010/wordprocessingShape">
                  <wps:wsp>
                    <wps:cNvSpPr/>
                    <wps:spPr>
                      <a:xfrm>
                        <a:off x="0" y="0"/>
                        <a:ext cx="8216265" cy="404495"/>
                      </a:xfrm>
                      <a:prstGeom prst="rect">
                        <a:avLst/>
                      </a:prstGeom>
                      <a:solidFill>
                        <a:srgbClr val="E4D845">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C79CB4" id="10 Rectángulo" o:spid="_x0000_s1026" style="position:absolute;margin-left:-100.35pt;margin-top:3.6pt;width:646.95pt;height:3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" fillcolor="#e4d845" stroked="f" strokeweight="2pt">
              <v:fill opacity="32125f"/>
            </v:rect>
          </w:pict>
        </mc:Fallback>
      </mc:AlternateContent>
    </w:r>
  </w:p>
  <w:p w14:paraId="14A82E3E" w14:textId="77777777" w:rsidR="009544A6" w:rsidRPr="005F38CE" w:rsidRDefault="007532BC" w:rsidP="00816CD6">
    <w:pPr>
      <w:pStyle w:val="Piepgina"/>
      <w:rPr>
        <w:color w:val="6C898C"/>
      </w:rPr>
    </w:pPr>
    <w:r>
      <w:t xml:space="preserve">Agencia Insular de Energía de Tenerife, Fundación Canaria - </w:t>
    </w:r>
    <w:r w:rsidR="005F38CE">
      <w:t>Polígono</w:t>
    </w:r>
    <w:r w:rsidR="009544A6" w:rsidRPr="005F38CE">
      <w:t xml:space="preserve"> Industrial de Granadilla</w:t>
    </w:r>
    <w:r w:rsidR="00A60046" w:rsidRPr="005F38CE">
      <w:t>,</w:t>
    </w:r>
    <w:r w:rsidR="009544A6" w:rsidRPr="005F38CE">
      <w:t xml:space="preserve"> s/n, 38600 - Granadilla de Abona, Tenerife, España</w:t>
    </w:r>
  </w:p>
  <w:p w14:paraId="1302C23D" w14:textId="77777777" w:rsidR="009544A6" w:rsidRPr="005F38CE" w:rsidRDefault="009544A6" w:rsidP="00816CD6">
    <w:pPr>
      <w:pStyle w:val="Piepgina"/>
      <w:rPr>
        <w:color w:val="6C898C"/>
        <w:lang w:val="en-US"/>
      </w:rPr>
    </w:pPr>
    <w:proofErr w:type="spellStart"/>
    <w:r w:rsidRPr="005F38CE">
      <w:rPr>
        <w:b/>
        <w:lang w:val="en-US"/>
      </w:rPr>
      <w:t>tel</w:t>
    </w:r>
    <w:proofErr w:type="spellEnd"/>
    <w:r w:rsidRPr="005F38CE">
      <w:rPr>
        <w:lang w:val="en-US"/>
      </w:rPr>
      <w:t xml:space="preserve"> +34 922 747 772 · </w:t>
    </w:r>
    <w:r w:rsidRPr="005F38CE">
      <w:rPr>
        <w:b/>
        <w:lang w:val="en-US"/>
      </w:rPr>
      <w:t>mail</w:t>
    </w:r>
    <w:r w:rsidRPr="005F38CE">
      <w:rPr>
        <w:lang w:val="en-US"/>
      </w:rPr>
      <w:t xml:space="preserve"> agenergia@agenergia.org · </w:t>
    </w:r>
    <w:r w:rsidRPr="005F38CE">
      <w:rPr>
        <w:b/>
        <w:lang w:val="en-US"/>
      </w:rPr>
      <w:t>web</w:t>
    </w:r>
    <w:r w:rsidRPr="005F38CE">
      <w:rPr>
        <w:lang w:val="en-US"/>
      </w:rPr>
      <w:t xml:space="preserve"> </w:t>
    </w:r>
    <w:hyperlink r:id="rId1" w:history="1">
      <w:r w:rsidR="00A60046" w:rsidRPr="005F38CE">
        <w:rPr>
          <w:rStyle w:val="Hipervnculo"/>
          <w:lang w:val="en-US"/>
        </w:rPr>
        <w:t>www.agenergia.org</w:t>
      </w:r>
    </w:hyperlink>
    <w:r w:rsidR="00A60046" w:rsidRPr="005F38CE">
      <w:rPr>
        <w:lang w:val="en-US"/>
      </w:rPr>
      <w:t xml:space="preserve"> ·</w:t>
    </w:r>
    <w:r w:rsidR="00A60046" w:rsidRPr="00ED05A4">
      <w:rPr>
        <w:b/>
        <w:lang w:val="en-US"/>
      </w:rPr>
      <w:t>CIF:</w:t>
    </w:r>
    <w:r w:rsidR="00A60046" w:rsidRPr="005F38CE">
      <w:rPr>
        <w:lang w:val="en-US"/>
      </w:rPr>
      <w:t xml:space="preserve"> G38826947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0D36" w14:textId="77777777" w:rsidR="009218D4" w:rsidRDefault="009218D4" w:rsidP="00011E81">
      <w:pPr>
        <w:spacing w:line="240" w:lineRule="auto"/>
      </w:pPr>
      <w:r>
        <w:separator/>
      </w:r>
    </w:p>
  </w:footnote>
  <w:footnote w:type="continuationSeparator" w:id="0">
    <w:p w14:paraId="17E9DBFA" w14:textId="77777777" w:rsidR="009218D4" w:rsidRDefault="009218D4" w:rsidP="00011E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BF21" w14:textId="77777777" w:rsidR="009544A6" w:rsidRDefault="00005B62">
    <w:pPr>
      <w:pStyle w:val="Encabezado"/>
    </w:pPr>
    <w:r>
      <w:rPr>
        <w:noProof/>
        <w:lang w:eastAsia="es-ES"/>
      </w:rPr>
      <w:drawing>
        <wp:anchor distT="0" distB="0" distL="114300" distR="123190" simplePos="0" relativeHeight="251661312" behindDoc="1" locked="0" layoutInCell="1" allowOverlap="1" wp14:anchorId="207E4634" wp14:editId="2757FAAE">
          <wp:simplePos x="0" y="0"/>
          <wp:positionH relativeFrom="column">
            <wp:posOffset>5708650</wp:posOffset>
          </wp:positionH>
          <wp:positionV relativeFrom="paragraph">
            <wp:posOffset>-635</wp:posOffset>
          </wp:positionV>
          <wp:extent cx="485775" cy="596900"/>
          <wp:effectExtent l="0" t="0" r="9525" b="0"/>
          <wp:wrapNone/>
          <wp:docPr id="1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6900"/>
                  </a:xfrm>
                  <a:prstGeom prst="rect">
                    <a:avLst/>
                  </a:prstGeom>
                  <a:noFill/>
                </pic:spPr>
              </pic:pic>
            </a:graphicData>
          </a:graphic>
          <wp14:sizeRelH relativeFrom="page">
            <wp14:pctWidth>0</wp14:pctWidth>
          </wp14:sizeRelH>
          <wp14:sizeRelV relativeFrom="page">
            <wp14:pctHeight>0</wp14:pctHeight>
          </wp14:sizeRelV>
        </wp:anchor>
      </w:drawing>
    </w:r>
    <w:r w:rsidR="00ED05A4">
      <w:rPr>
        <w:noProof/>
        <w:lang w:eastAsia="es-ES"/>
      </w:rPr>
      <w:drawing>
        <wp:anchor distT="0" distB="0" distL="114300" distR="114300" simplePos="0" relativeHeight="251658240" behindDoc="0" locked="0" layoutInCell="1" allowOverlap="1" wp14:anchorId="7538AB1E" wp14:editId="1A0989CC">
          <wp:simplePos x="0" y="0"/>
          <wp:positionH relativeFrom="column">
            <wp:posOffset>29845</wp:posOffset>
          </wp:positionH>
          <wp:positionV relativeFrom="paragraph">
            <wp:posOffset>-177165</wp:posOffset>
          </wp:positionV>
          <wp:extent cx="1003935" cy="826135"/>
          <wp:effectExtent l="0" t="0" r="5715"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43.png"/>
                  <pic:cNvPicPr/>
                </pic:nvPicPr>
                <pic:blipFill rotWithShape="1">
                  <a:blip r:embed="rId2" cstate="print">
                    <a:extLst>
                      <a:ext uri="{28A0092B-C50C-407E-A947-70E740481C1C}">
                        <a14:useLocalDpi xmlns:a14="http://schemas.microsoft.com/office/drawing/2010/main" val="0"/>
                      </a:ext>
                    </a:extLst>
                  </a:blip>
                  <a:srcRect l="2899" t="5694"/>
                  <a:stretch/>
                </pic:blipFill>
                <pic:spPr bwMode="auto">
                  <a:xfrm>
                    <a:off x="0" y="0"/>
                    <a:ext cx="1003935" cy="826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B22D6" w14:textId="77777777" w:rsidR="009544A6" w:rsidRDefault="009544A6">
    <w:pPr>
      <w:pStyle w:val="Encabezado"/>
    </w:pPr>
  </w:p>
  <w:p w14:paraId="66A46161" w14:textId="77777777" w:rsidR="00011E81" w:rsidRDefault="00C16B66" w:rsidP="006C1B9B">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4"/>
    <w:multiLevelType w:val="hybridMultilevel"/>
    <w:tmpl w:val="1AF47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402320"/>
    <w:multiLevelType w:val="hybridMultilevel"/>
    <w:tmpl w:val="879C0A9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453659D"/>
    <w:multiLevelType w:val="hybridMultilevel"/>
    <w:tmpl w:val="23BC4996"/>
    <w:lvl w:ilvl="0" w:tplc="9A1CC93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984E04"/>
    <w:multiLevelType w:val="hybridMultilevel"/>
    <w:tmpl w:val="7EDC550C"/>
    <w:lvl w:ilvl="0" w:tplc="9A1CC93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D04331"/>
    <w:multiLevelType w:val="hybridMultilevel"/>
    <w:tmpl w:val="4B00D2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9E6A27"/>
    <w:multiLevelType w:val="hybridMultilevel"/>
    <w:tmpl w:val="6FF47E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EA6E0A"/>
    <w:multiLevelType w:val="hybridMultilevel"/>
    <w:tmpl w:val="BB926A52"/>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7" w15:restartNumberingAfterBreak="0">
    <w:nsid w:val="26C51D73"/>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DF58F3"/>
    <w:multiLevelType w:val="hybridMultilevel"/>
    <w:tmpl w:val="4B00D2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222BA5"/>
    <w:multiLevelType w:val="hybridMultilevel"/>
    <w:tmpl w:val="2ADA3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BD4D96"/>
    <w:multiLevelType w:val="hybridMultilevel"/>
    <w:tmpl w:val="80281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8B755A"/>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2900E9"/>
    <w:multiLevelType w:val="hybridMultilevel"/>
    <w:tmpl w:val="A70021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BC20A1"/>
    <w:multiLevelType w:val="hybridMultilevel"/>
    <w:tmpl w:val="CE1A7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BD4FA4"/>
    <w:multiLevelType w:val="hybridMultilevel"/>
    <w:tmpl w:val="C556FB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F2750E"/>
    <w:multiLevelType w:val="hybridMultilevel"/>
    <w:tmpl w:val="C556FB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15"/>
  </w:num>
  <w:num w:numId="5">
    <w:abstractNumId w:val="14"/>
  </w:num>
  <w:num w:numId="6">
    <w:abstractNumId w:val="3"/>
  </w:num>
  <w:num w:numId="7">
    <w:abstractNumId w:val="2"/>
  </w:num>
  <w:num w:numId="8">
    <w:abstractNumId w:val="11"/>
  </w:num>
  <w:num w:numId="9">
    <w:abstractNumId w:val="12"/>
  </w:num>
  <w:num w:numId="10">
    <w:abstractNumId w:val="4"/>
  </w:num>
  <w:num w:numId="11">
    <w:abstractNumId w:val="0"/>
  </w:num>
  <w:num w:numId="12">
    <w:abstractNumId w:val="1"/>
  </w:num>
  <w:num w:numId="13">
    <w:abstractNumId w:val="10"/>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81"/>
    <w:rsid w:val="00000D53"/>
    <w:rsid w:val="00000E37"/>
    <w:rsid w:val="00005B62"/>
    <w:rsid w:val="000063A0"/>
    <w:rsid w:val="0001122E"/>
    <w:rsid w:val="00011E81"/>
    <w:rsid w:val="000125BA"/>
    <w:rsid w:val="00025428"/>
    <w:rsid w:val="000261FF"/>
    <w:rsid w:val="000422D6"/>
    <w:rsid w:val="000425EC"/>
    <w:rsid w:val="000A4C50"/>
    <w:rsid w:val="000C7AE9"/>
    <w:rsid w:val="000E1422"/>
    <w:rsid w:val="00117186"/>
    <w:rsid w:val="00130E91"/>
    <w:rsid w:val="001461C2"/>
    <w:rsid w:val="0016046A"/>
    <w:rsid w:val="001641B4"/>
    <w:rsid w:val="0017396D"/>
    <w:rsid w:val="00180A44"/>
    <w:rsid w:val="001A536B"/>
    <w:rsid w:val="001D3213"/>
    <w:rsid w:val="001D39DF"/>
    <w:rsid w:val="001F218E"/>
    <w:rsid w:val="001F44D1"/>
    <w:rsid w:val="00214D65"/>
    <w:rsid w:val="00220F45"/>
    <w:rsid w:val="00223AF2"/>
    <w:rsid w:val="002322FC"/>
    <w:rsid w:val="002333C4"/>
    <w:rsid w:val="00243D99"/>
    <w:rsid w:val="00254CE3"/>
    <w:rsid w:val="002975B9"/>
    <w:rsid w:val="002B0A22"/>
    <w:rsid w:val="002B721E"/>
    <w:rsid w:val="002E635D"/>
    <w:rsid w:val="002F176D"/>
    <w:rsid w:val="003046AB"/>
    <w:rsid w:val="00321812"/>
    <w:rsid w:val="00364722"/>
    <w:rsid w:val="003678B1"/>
    <w:rsid w:val="00372D97"/>
    <w:rsid w:val="0037475F"/>
    <w:rsid w:val="003863FD"/>
    <w:rsid w:val="003906B8"/>
    <w:rsid w:val="003C45C8"/>
    <w:rsid w:val="003C7593"/>
    <w:rsid w:val="003E5E8F"/>
    <w:rsid w:val="00441529"/>
    <w:rsid w:val="00451AF2"/>
    <w:rsid w:val="00472F14"/>
    <w:rsid w:val="00497076"/>
    <w:rsid w:val="004A21B5"/>
    <w:rsid w:val="004B23BD"/>
    <w:rsid w:val="004C521C"/>
    <w:rsid w:val="004D21B9"/>
    <w:rsid w:val="004F496B"/>
    <w:rsid w:val="00530F9E"/>
    <w:rsid w:val="0056700F"/>
    <w:rsid w:val="005875B4"/>
    <w:rsid w:val="0059490B"/>
    <w:rsid w:val="005A30E0"/>
    <w:rsid w:val="005A48CB"/>
    <w:rsid w:val="005A4911"/>
    <w:rsid w:val="005A6380"/>
    <w:rsid w:val="005B2BE5"/>
    <w:rsid w:val="005B44C4"/>
    <w:rsid w:val="005D082F"/>
    <w:rsid w:val="005F38CE"/>
    <w:rsid w:val="005F4B20"/>
    <w:rsid w:val="00607D0F"/>
    <w:rsid w:val="00620AF6"/>
    <w:rsid w:val="00624174"/>
    <w:rsid w:val="00626FC7"/>
    <w:rsid w:val="00636A09"/>
    <w:rsid w:val="006400BF"/>
    <w:rsid w:val="00693127"/>
    <w:rsid w:val="00696E31"/>
    <w:rsid w:val="006A3D07"/>
    <w:rsid w:val="006C1B9B"/>
    <w:rsid w:val="006F7527"/>
    <w:rsid w:val="006F7FF8"/>
    <w:rsid w:val="00703B51"/>
    <w:rsid w:val="0071373E"/>
    <w:rsid w:val="007308C2"/>
    <w:rsid w:val="007532BC"/>
    <w:rsid w:val="00753FE1"/>
    <w:rsid w:val="00763BD6"/>
    <w:rsid w:val="007840AE"/>
    <w:rsid w:val="00784DF5"/>
    <w:rsid w:val="007A26BE"/>
    <w:rsid w:val="007B040A"/>
    <w:rsid w:val="007B632A"/>
    <w:rsid w:val="007D6888"/>
    <w:rsid w:val="007E0D3B"/>
    <w:rsid w:val="007F3E9B"/>
    <w:rsid w:val="00801DD3"/>
    <w:rsid w:val="00812031"/>
    <w:rsid w:val="00816CD6"/>
    <w:rsid w:val="00827B51"/>
    <w:rsid w:val="00847873"/>
    <w:rsid w:val="00892256"/>
    <w:rsid w:val="00892F9F"/>
    <w:rsid w:val="008B5C3E"/>
    <w:rsid w:val="008F3AF2"/>
    <w:rsid w:val="00903865"/>
    <w:rsid w:val="009218D4"/>
    <w:rsid w:val="00936200"/>
    <w:rsid w:val="00936BC1"/>
    <w:rsid w:val="0095049E"/>
    <w:rsid w:val="009544A6"/>
    <w:rsid w:val="00961DAD"/>
    <w:rsid w:val="00962C59"/>
    <w:rsid w:val="00996339"/>
    <w:rsid w:val="009A091A"/>
    <w:rsid w:val="009A70EA"/>
    <w:rsid w:val="009B60E8"/>
    <w:rsid w:val="009C1717"/>
    <w:rsid w:val="009D311D"/>
    <w:rsid w:val="00A139DC"/>
    <w:rsid w:val="00A60046"/>
    <w:rsid w:val="00A73198"/>
    <w:rsid w:val="00A7407E"/>
    <w:rsid w:val="00AA3C57"/>
    <w:rsid w:val="00AA437E"/>
    <w:rsid w:val="00AB54DE"/>
    <w:rsid w:val="00AC2FC5"/>
    <w:rsid w:val="00AC3478"/>
    <w:rsid w:val="00AE605E"/>
    <w:rsid w:val="00B16DD8"/>
    <w:rsid w:val="00B6031B"/>
    <w:rsid w:val="00B75162"/>
    <w:rsid w:val="00B84522"/>
    <w:rsid w:val="00B86FE0"/>
    <w:rsid w:val="00B965DC"/>
    <w:rsid w:val="00BA6D6A"/>
    <w:rsid w:val="00BA6FEB"/>
    <w:rsid w:val="00BC5C21"/>
    <w:rsid w:val="00BC6095"/>
    <w:rsid w:val="00BE4B54"/>
    <w:rsid w:val="00C07BA6"/>
    <w:rsid w:val="00C16B66"/>
    <w:rsid w:val="00C50DC3"/>
    <w:rsid w:val="00C556D0"/>
    <w:rsid w:val="00C55AAE"/>
    <w:rsid w:val="00C66152"/>
    <w:rsid w:val="00C7052F"/>
    <w:rsid w:val="00C94D19"/>
    <w:rsid w:val="00C97DC6"/>
    <w:rsid w:val="00CB747A"/>
    <w:rsid w:val="00CD3156"/>
    <w:rsid w:val="00CD50D8"/>
    <w:rsid w:val="00CE0D87"/>
    <w:rsid w:val="00D107C1"/>
    <w:rsid w:val="00D30699"/>
    <w:rsid w:val="00D323DA"/>
    <w:rsid w:val="00D40DF7"/>
    <w:rsid w:val="00D81619"/>
    <w:rsid w:val="00DC751A"/>
    <w:rsid w:val="00DD4D6D"/>
    <w:rsid w:val="00DE30A4"/>
    <w:rsid w:val="00DE3D16"/>
    <w:rsid w:val="00DE53D7"/>
    <w:rsid w:val="00E50766"/>
    <w:rsid w:val="00E70F93"/>
    <w:rsid w:val="00E94AD1"/>
    <w:rsid w:val="00E9678A"/>
    <w:rsid w:val="00EA5EBE"/>
    <w:rsid w:val="00EB0C94"/>
    <w:rsid w:val="00ED05A4"/>
    <w:rsid w:val="00F01677"/>
    <w:rsid w:val="00F1775C"/>
    <w:rsid w:val="00F50DD0"/>
    <w:rsid w:val="00F50EBD"/>
    <w:rsid w:val="00F573B3"/>
    <w:rsid w:val="00F8621C"/>
    <w:rsid w:val="00F967D1"/>
    <w:rsid w:val="00FB2B47"/>
    <w:rsid w:val="00FE5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CC9AAA"/>
  <w15:docId w15:val="{B962C42E-DA66-47FF-A093-B62E7B65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9B"/>
    <w:pPr>
      <w:spacing w:after="0"/>
    </w:pPr>
    <w:rPr>
      <w:color w:val="4C4C4C" w:themeColor="text1"/>
    </w:rPr>
  </w:style>
  <w:style w:type="paragraph" w:styleId="Ttulo1">
    <w:name w:val="heading 1"/>
    <w:basedOn w:val="Normal"/>
    <w:next w:val="Normal"/>
    <w:link w:val="Ttulo1Car"/>
    <w:uiPriority w:val="9"/>
    <w:qFormat/>
    <w:rsid w:val="00011E81"/>
    <w:pPr>
      <w:keepNext/>
      <w:keepLines/>
      <w:spacing w:before="480"/>
      <w:outlineLvl w:val="0"/>
    </w:pPr>
    <w:rPr>
      <w:rFonts w:ascii="GalanoGrotesque-Bold" w:eastAsiaTheme="majorEastAsia" w:hAnsi="GalanoGrotesque-Bold" w:cstheme="majorBidi"/>
      <w:b/>
      <w:bCs/>
      <w:color w:val="4C4C4C"/>
      <w:sz w:val="40"/>
      <w:szCs w:val="28"/>
    </w:rPr>
  </w:style>
  <w:style w:type="paragraph" w:styleId="Ttulo2">
    <w:name w:val="heading 2"/>
    <w:basedOn w:val="Normal"/>
    <w:next w:val="Normal"/>
    <w:link w:val="Ttulo2Car"/>
    <w:uiPriority w:val="9"/>
    <w:unhideWhenUsed/>
    <w:qFormat/>
    <w:rsid w:val="009544A6"/>
    <w:pPr>
      <w:keepNext/>
      <w:keepLines/>
      <w:spacing w:before="200"/>
      <w:outlineLvl w:val="1"/>
    </w:pPr>
    <w:rPr>
      <w:rFonts w:ascii="GalanoGrotesque-Bold" w:eastAsiaTheme="majorEastAsia" w:hAnsi="GalanoGrotesque-Bold" w:cstheme="majorBidi"/>
      <w:b/>
      <w:bCs/>
      <w:color w:val="4C4C4C"/>
      <w:sz w:val="26"/>
      <w:szCs w:val="26"/>
    </w:rPr>
  </w:style>
  <w:style w:type="paragraph" w:styleId="Ttulo3">
    <w:name w:val="heading 3"/>
    <w:basedOn w:val="Normal"/>
    <w:next w:val="Normal"/>
    <w:link w:val="Ttulo3Car"/>
    <w:uiPriority w:val="9"/>
    <w:unhideWhenUsed/>
    <w:qFormat/>
    <w:rsid w:val="009544A6"/>
    <w:pPr>
      <w:keepNext/>
      <w:keepLines/>
      <w:outlineLvl w:val="2"/>
    </w:pPr>
    <w:rPr>
      <w:rFonts w:ascii="GalanoGrotesque-Light" w:eastAsiaTheme="majorEastAsia" w:hAnsi="GalanoGrotesque-Light" w:cstheme="majorBidi"/>
      <w:bCs/>
      <w:color w:val="4C4C4C"/>
      <w:sz w:val="24"/>
    </w:rPr>
  </w:style>
  <w:style w:type="paragraph" w:styleId="Ttulo4">
    <w:name w:val="heading 4"/>
    <w:basedOn w:val="Normal"/>
    <w:next w:val="Normal"/>
    <w:link w:val="Ttulo4Car"/>
    <w:uiPriority w:val="9"/>
    <w:unhideWhenUsed/>
    <w:qFormat/>
    <w:rsid w:val="00961DAD"/>
    <w:pPr>
      <w:keepNext/>
      <w:keepLines/>
      <w:spacing w:before="200"/>
      <w:outlineLvl w:val="3"/>
    </w:pPr>
    <w:rPr>
      <w:rFonts w:ascii="GalanoGrotesque-Bold" w:eastAsiaTheme="majorEastAsia" w:hAnsi="GalanoGrotesque-Bold" w:cstheme="majorBidi"/>
      <w:b/>
      <w:bCs/>
      <w:i/>
      <w:iCs/>
      <w:color w:val="8A8A8A" w:themeColor="text1" w:themeTint="A6"/>
    </w:rPr>
  </w:style>
  <w:style w:type="paragraph" w:styleId="Ttulo5">
    <w:name w:val="heading 5"/>
    <w:basedOn w:val="Normal"/>
    <w:next w:val="Normal"/>
    <w:link w:val="Ttulo5Car"/>
    <w:uiPriority w:val="9"/>
    <w:unhideWhenUsed/>
    <w:qFormat/>
    <w:rsid w:val="00892256"/>
    <w:pPr>
      <w:keepNext/>
      <w:keepLines/>
      <w:spacing w:before="200"/>
      <w:outlineLvl w:val="4"/>
    </w:pPr>
    <w:rPr>
      <w:rFonts w:ascii="Calibri" w:eastAsiaTheme="majorEastAsia" w:hAnsi="Calibri" w:cstheme="majorBidi"/>
      <w:color w:val="004C4F" w:themeColor="accent3" w:themeShade="80"/>
    </w:rPr>
  </w:style>
  <w:style w:type="paragraph" w:styleId="Ttulo6">
    <w:name w:val="heading 6"/>
    <w:basedOn w:val="Normal"/>
    <w:next w:val="Normal"/>
    <w:link w:val="Ttulo6Car"/>
    <w:uiPriority w:val="9"/>
    <w:unhideWhenUsed/>
    <w:qFormat/>
    <w:rsid w:val="00961DAD"/>
    <w:pPr>
      <w:keepNext/>
      <w:keepLines/>
      <w:spacing w:before="200"/>
      <w:outlineLvl w:val="5"/>
    </w:pPr>
    <w:rPr>
      <w:rFonts w:ascii="Calibri" w:eastAsiaTheme="majorEastAsia" w:hAnsi="Calibri" w:cstheme="majorBidi"/>
      <w:i/>
      <w:iCs/>
      <w:color w:val="66666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3">
    <w:name w:val="Light Shading Accent 3"/>
    <w:basedOn w:val="Tablanormal"/>
    <w:uiPriority w:val="60"/>
    <w:rsid w:val="00696E31"/>
    <w:pPr>
      <w:spacing w:after="0" w:line="240" w:lineRule="auto"/>
    </w:pPr>
    <w:rPr>
      <w:color w:val="EAD270"/>
    </w:rPr>
    <w:tblPr>
      <w:tblStyleRowBandSize w:val="1"/>
      <w:tblStyleColBandSize w:val="1"/>
      <w:tblBorders>
        <w:top w:val="single" w:sz="2" w:space="0" w:color="EAD270"/>
        <w:bottom w:val="single" w:sz="2" w:space="0" w:color="EAD270"/>
      </w:tblBorders>
    </w:tblPr>
    <w:tblStylePr w:type="firstRow">
      <w:pPr>
        <w:spacing w:before="0" w:after="0" w:line="240" w:lineRule="auto"/>
      </w:pPr>
      <w:rPr>
        <w:b/>
        <w:bCs/>
      </w:rPr>
      <w:tblPr/>
      <w:tcPr>
        <w:tcBorders>
          <w:top w:val="single" w:sz="8" w:space="0" w:color="009A9E" w:themeColor="accent3"/>
          <w:left w:val="nil"/>
          <w:bottom w:val="single" w:sz="8" w:space="0" w:color="009A9E" w:themeColor="accent3"/>
          <w:right w:val="nil"/>
          <w:insideH w:val="nil"/>
          <w:insideV w:val="nil"/>
        </w:tcBorders>
      </w:tcPr>
    </w:tblStylePr>
    <w:tblStylePr w:type="lastRow">
      <w:pPr>
        <w:spacing w:before="0" w:after="0" w:line="240" w:lineRule="auto"/>
      </w:pPr>
      <w:rPr>
        <w:b/>
        <w:bCs/>
      </w:rPr>
      <w:tblPr/>
      <w:tcPr>
        <w:tcBorders>
          <w:top w:val="single" w:sz="8" w:space="0" w:color="009A9E" w:themeColor="accent3"/>
          <w:left w:val="nil"/>
          <w:bottom w:val="single" w:sz="8" w:space="0" w:color="009A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CFF" w:themeFill="accent3" w:themeFillTint="3F"/>
      </w:tcPr>
    </w:tblStylePr>
    <w:tblStylePr w:type="band1Horz">
      <w:tblPr/>
      <w:tcPr>
        <w:tcBorders>
          <w:left w:val="nil"/>
          <w:right w:val="nil"/>
          <w:insideH w:val="nil"/>
          <w:insideV w:val="nil"/>
        </w:tcBorders>
        <w:shd w:val="clear" w:color="auto" w:fill="A8FCFF" w:themeFill="accent3" w:themeFillTint="3F"/>
      </w:tcPr>
    </w:tblStylePr>
  </w:style>
  <w:style w:type="character" w:customStyle="1" w:styleId="Ttulo1Car">
    <w:name w:val="Título 1 Car"/>
    <w:basedOn w:val="Fuentedeprrafopredeter"/>
    <w:link w:val="Ttulo1"/>
    <w:uiPriority w:val="9"/>
    <w:rsid w:val="00011E81"/>
    <w:rPr>
      <w:rFonts w:ascii="GalanoGrotesque-Bold" w:eastAsiaTheme="majorEastAsia" w:hAnsi="GalanoGrotesque-Bold" w:cstheme="majorBidi"/>
      <w:b/>
      <w:bCs/>
      <w:color w:val="4C4C4C"/>
      <w:sz w:val="40"/>
      <w:szCs w:val="28"/>
    </w:rPr>
  </w:style>
  <w:style w:type="character" w:customStyle="1" w:styleId="Ttulo2Car">
    <w:name w:val="Título 2 Car"/>
    <w:basedOn w:val="Fuentedeprrafopredeter"/>
    <w:link w:val="Ttulo2"/>
    <w:uiPriority w:val="9"/>
    <w:rsid w:val="009544A6"/>
    <w:rPr>
      <w:rFonts w:ascii="GalanoGrotesque-Bold" w:eastAsiaTheme="majorEastAsia" w:hAnsi="GalanoGrotesque-Bold" w:cstheme="majorBidi"/>
      <w:b/>
      <w:bCs/>
      <w:color w:val="4C4C4C"/>
      <w:sz w:val="26"/>
      <w:szCs w:val="26"/>
    </w:rPr>
  </w:style>
  <w:style w:type="character" w:customStyle="1" w:styleId="Ttulo3Car">
    <w:name w:val="Título 3 Car"/>
    <w:basedOn w:val="Fuentedeprrafopredeter"/>
    <w:link w:val="Ttulo3"/>
    <w:uiPriority w:val="9"/>
    <w:rsid w:val="009544A6"/>
    <w:rPr>
      <w:rFonts w:ascii="GalanoGrotesque-Light" w:eastAsiaTheme="majorEastAsia" w:hAnsi="GalanoGrotesque-Light" w:cstheme="majorBidi"/>
      <w:bCs/>
      <w:color w:val="4C4C4C"/>
      <w:sz w:val="24"/>
    </w:rPr>
  </w:style>
  <w:style w:type="character" w:customStyle="1" w:styleId="Ttulo4Car">
    <w:name w:val="Título 4 Car"/>
    <w:basedOn w:val="Fuentedeprrafopredeter"/>
    <w:link w:val="Ttulo4"/>
    <w:uiPriority w:val="9"/>
    <w:rsid w:val="00961DAD"/>
    <w:rPr>
      <w:rFonts w:ascii="GalanoGrotesque-Bold" w:eastAsiaTheme="majorEastAsia" w:hAnsi="GalanoGrotesque-Bold" w:cstheme="majorBidi"/>
      <w:b/>
      <w:bCs/>
      <w:i/>
      <w:iCs/>
      <w:color w:val="8A8A8A" w:themeColor="text1" w:themeTint="A6"/>
    </w:rPr>
  </w:style>
  <w:style w:type="character" w:customStyle="1" w:styleId="Ttulo5Car">
    <w:name w:val="Título 5 Car"/>
    <w:basedOn w:val="Fuentedeprrafopredeter"/>
    <w:link w:val="Ttulo5"/>
    <w:uiPriority w:val="9"/>
    <w:rsid w:val="00892256"/>
    <w:rPr>
      <w:rFonts w:ascii="Calibri" w:eastAsiaTheme="majorEastAsia" w:hAnsi="Calibri" w:cstheme="majorBidi"/>
      <w:color w:val="004C4F" w:themeColor="accent3" w:themeShade="80"/>
    </w:rPr>
  </w:style>
  <w:style w:type="paragraph" w:styleId="Ttulo">
    <w:name w:val="Title"/>
    <w:basedOn w:val="Normal"/>
    <w:next w:val="Normal"/>
    <w:link w:val="TtuloCar"/>
    <w:uiPriority w:val="10"/>
    <w:qFormat/>
    <w:rsid w:val="00011E81"/>
    <w:pPr>
      <w:pBdr>
        <w:bottom w:val="single" w:sz="8" w:space="4" w:color="E4D845"/>
      </w:pBdr>
      <w:spacing w:after="300" w:line="240" w:lineRule="auto"/>
      <w:contextualSpacing/>
    </w:pPr>
    <w:rPr>
      <w:rFonts w:ascii="GalanoGrotesque-Medium" w:eastAsiaTheme="majorEastAsia" w:hAnsi="GalanoGrotesque-Medium" w:cstheme="majorBidi"/>
      <w:color w:val="E4D845"/>
      <w:spacing w:val="5"/>
      <w:kern w:val="28"/>
      <w:sz w:val="52"/>
      <w:szCs w:val="52"/>
    </w:rPr>
  </w:style>
  <w:style w:type="character" w:customStyle="1" w:styleId="TtuloCar">
    <w:name w:val="Título Car"/>
    <w:basedOn w:val="Fuentedeprrafopredeter"/>
    <w:link w:val="Ttulo"/>
    <w:uiPriority w:val="10"/>
    <w:rsid w:val="00011E81"/>
    <w:rPr>
      <w:rFonts w:ascii="GalanoGrotesque-Medium" w:eastAsiaTheme="majorEastAsia" w:hAnsi="GalanoGrotesque-Medium" w:cstheme="majorBidi"/>
      <w:color w:val="E4D845"/>
      <w:spacing w:val="5"/>
      <w:kern w:val="28"/>
      <w:sz w:val="52"/>
      <w:szCs w:val="52"/>
    </w:rPr>
  </w:style>
  <w:style w:type="paragraph" w:styleId="Sinespaciado">
    <w:name w:val="No Spacing"/>
    <w:uiPriority w:val="1"/>
    <w:qFormat/>
    <w:rsid w:val="00696E31"/>
    <w:pPr>
      <w:spacing w:after="0" w:line="240" w:lineRule="auto"/>
    </w:pPr>
    <w:rPr>
      <w:color w:val="4C4C4C" w:themeColor="text1"/>
    </w:rPr>
  </w:style>
  <w:style w:type="paragraph" w:styleId="Encabezado">
    <w:name w:val="header"/>
    <w:basedOn w:val="Normal"/>
    <w:link w:val="EncabezadoCar"/>
    <w:uiPriority w:val="99"/>
    <w:unhideWhenUsed/>
    <w:rsid w:val="00011E8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11E81"/>
    <w:rPr>
      <w:color w:val="4C4C4C" w:themeColor="text1"/>
    </w:rPr>
  </w:style>
  <w:style w:type="paragraph" w:styleId="Piedepgina">
    <w:name w:val="footer"/>
    <w:basedOn w:val="Normal"/>
    <w:link w:val="PiedepginaCar"/>
    <w:uiPriority w:val="99"/>
    <w:unhideWhenUsed/>
    <w:rsid w:val="00011E8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E81"/>
    <w:rPr>
      <w:color w:val="4C4C4C" w:themeColor="text1"/>
    </w:rPr>
  </w:style>
  <w:style w:type="paragraph" w:styleId="Textodeglobo">
    <w:name w:val="Balloon Text"/>
    <w:basedOn w:val="Normal"/>
    <w:link w:val="TextodegloboCar"/>
    <w:uiPriority w:val="99"/>
    <w:semiHidden/>
    <w:unhideWhenUsed/>
    <w:rsid w:val="00011E8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E81"/>
    <w:rPr>
      <w:rFonts w:ascii="Tahoma" w:hAnsi="Tahoma" w:cs="Tahoma"/>
      <w:color w:val="4C4C4C" w:themeColor="text1"/>
      <w:sz w:val="16"/>
      <w:szCs w:val="16"/>
    </w:rPr>
  </w:style>
  <w:style w:type="character" w:customStyle="1" w:styleId="Ttulo6Car">
    <w:name w:val="Título 6 Car"/>
    <w:basedOn w:val="Fuentedeprrafopredeter"/>
    <w:link w:val="Ttulo6"/>
    <w:uiPriority w:val="9"/>
    <w:rsid w:val="00961DAD"/>
    <w:rPr>
      <w:rFonts w:ascii="Calibri" w:eastAsiaTheme="majorEastAsia" w:hAnsi="Calibri" w:cstheme="majorBidi"/>
      <w:i/>
      <w:iCs/>
      <w:color w:val="666666" w:themeColor="text1" w:themeTint="D9"/>
    </w:rPr>
  </w:style>
  <w:style w:type="character" w:styleId="Hipervnculo">
    <w:name w:val="Hyperlink"/>
    <w:basedOn w:val="Fuentedeprrafopredeter"/>
    <w:uiPriority w:val="99"/>
    <w:unhideWhenUsed/>
    <w:rsid w:val="00A60046"/>
    <w:rPr>
      <w:color w:val="A5A5A5" w:themeColor="hyperlink"/>
      <w:u w:val="single"/>
    </w:rPr>
  </w:style>
  <w:style w:type="paragraph" w:customStyle="1" w:styleId="Piepgina">
    <w:name w:val="Pie página"/>
    <w:basedOn w:val="Piedepgina"/>
    <w:link w:val="PiepginaCar"/>
    <w:qFormat/>
    <w:rsid w:val="00816CD6"/>
    <w:pPr>
      <w:jc w:val="center"/>
    </w:pPr>
    <w:rPr>
      <w:rFonts w:ascii="Calibri" w:hAnsi="Calibri"/>
      <w:color w:val="4C4C4C"/>
      <w:sz w:val="16"/>
      <w:szCs w:val="16"/>
    </w:rPr>
  </w:style>
  <w:style w:type="character" w:customStyle="1" w:styleId="PiepginaCar">
    <w:name w:val="Pie página Car"/>
    <w:basedOn w:val="PiedepginaCar"/>
    <w:link w:val="Piepgina"/>
    <w:rsid w:val="00816CD6"/>
    <w:rPr>
      <w:rFonts w:ascii="Calibri" w:hAnsi="Calibri"/>
      <w:color w:val="4C4C4C"/>
      <w:sz w:val="16"/>
      <w:szCs w:val="16"/>
    </w:rPr>
  </w:style>
  <w:style w:type="table" w:styleId="Tablaconcuadrcula">
    <w:name w:val="Table Grid"/>
    <w:basedOn w:val="Tablanormal"/>
    <w:uiPriority w:val="1"/>
    <w:rsid w:val="00C9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425EC"/>
    <w:pPr>
      <w:spacing w:after="240" w:line="300" w:lineRule="auto"/>
      <w:ind w:left="720"/>
      <w:contextualSpacing/>
    </w:pPr>
    <w:rPr>
      <w:rFonts w:ascii="Arial" w:eastAsia="Times New Roman" w:hAnsi="Arial" w:cs="Times New Roman"/>
      <w:color w:val="1B1D1C"/>
      <w:sz w:val="20"/>
      <w:szCs w:val="21"/>
      <w:lang w:val="en-US" w:eastAsia="ja-JP"/>
    </w:rPr>
  </w:style>
  <w:style w:type="character" w:customStyle="1" w:styleId="PrrafodelistaCar">
    <w:name w:val="Párrafo de lista Car"/>
    <w:basedOn w:val="Fuentedeprrafopredeter"/>
    <w:link w:val="Prrafodelista"/>
    <w:uiPriority w:val="34"/>
    <w:locked/>
    <w:rsid w:val="000425EC"/>
    <w:rPr>
      <w:rFonts w:ascii="Arial" w:eastAsia="Times New Roman" w:hAnsi="Arial" w:cs="Times New Roman"/>
      <w:color w:val="1B1D1C"/>
      <w:sz w:val="20"/>
      <w:szCs w:val="21"/>
      <w:lang w:val="en-US" w:eastAsia="ja-JP"/>
    </w:rPr>
  </w:style>
  <w:style w:type="table" w:customStyle="1" w:styleId="Tablaconcuadrcula4">
    <w:name w:val="Tabla con cuadrícula4"/>
    <w:basedOn w:val="Tablanormal"/>
    <w:next w:val="Tablaconcuadrcula"/>
    <w:uiPriority w:val="1"/>
    <w:rsid w:val="000425EC"/>
    <w:pPr>
      <w:spacing w:after="0" w:line="240" w:lineRule="auto"/>
    </w:pPr>
    <w:rPr>
      <w:rFonts w:ascii="Arial" w:eastAsia="Times New Roman" w:hAnsi="Arial" w:cs="Times New Roma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customStyle="1" w:styleId="Encabezado1">
    <w:name w:val="Encabezado 1"/>
    <w:basedOn w:val="Normal"/>
    <w:next w:val="Normal"/>
    <w:uiPriority w:val="9"/>
    <w:qFormat/>
    <w:rsid w:val="000425EC"/>
    <w:pPr>
      <w:suppressAutoHyphens/>
      <w:spacing w:before="300" w:after="40"/>
      <w:ind w:left="360" w:hanging="360"/>
      <w:jc w:val="both"/>
      <w:outlineLvl w:val="0"/>
    </w:pPr>
    <w:rPr>
      <w:rFonts w:ascii="Calibri" w:eastAsiaTheme="minorEastAsia" w:hAnsi="Calibri" w:cs="Calibri"/>
      <w:smallCaps/>
      <w:color w:val="00000A"/>
      <w:spacing w:val="5"/>
      <w:sz w:val="32"/>
      <w:szCs w:val="32"/>
    </w:rPr>
  </w:style>
  <w:style w:type="paragraph" w:styleId="HTMLconformatoprevio">
    <w:name w:val="HTML Preformatted"/>
    <w:basedOn w:val="Normal"/>
    <w:link w:val="HTMLconformatoprevioCar"/>
    <w:uiPriority w:val="99"/>
    <w:unhideWhenUsed/>
    <w:rsid w:val="0004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0425EC"/>
    <w:rPr>
      <w:rFonts w:ascii="Courier New" w:eastAsia="Times New Roman" w:hAnsi="Courier New" w:cs="Courier New"/>
      <w:sz w:val="20"/>
      <w:szCs w:val="20"/>
    </w:rPr>
  </w:style>
  <w:style w:type="character" w:styleId="Refdecomentario">
    <w:name w:val="annotation reference"/>
    <w:basedOn w:val="Fuentedeprrafopredeter"/>
    <w:uiPriority w:val="99"/>
    <w:semiHidden/>
    <w:unhideWhenUsed/>
    <w:rsid w:val="00693127"/>
    <w:rPr>
      <w:sz w:val="16"/>
      <w:szCs w:val="16"/>
    </w:rPr>
  </w:style>
  <w:style w:type="paragraph" w:styleId="Textocomentario">
    <w:name w:val="annotation text"/>
    <w:basedOn w:val="Normal"/>
    <w:link w:val="TextocomentarioCar"/>
    <w:uiPriority w:val="99"/>
    <w:semiHidden/>
    <w:unhideWhenUsed/>
    <w:rsid w:val="006931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3127"/>
    <w:rPr>
      <w:color w:val="4C4C4C"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693127"/>
    <w:rPr>
      <w:b/>
      <w:bCs/>
    </w:rPr>
  </w:style>
  <w:style w:type="character" w:customStyle="1" w:styleId="AsuntodelcomentarioCar">
    <w:name w:val="Asunto del comentario Car"/>
    <w:basedOn w:val="TextocomentarioCar"/>
    <w:link w:val="Asuntodelcomentario"/>
    <w:uiPriority w:val="99"/>
    <w:semiHidden/>
    <w:rsid w:val="00693127"/>
    <w:rPr>
      <w:b/>
      <w:bCs/>
      <w:color w:val="4C4C4C" w:themeColor="text1"/>
      <w:sz w:val="20"/>
      <w:szCs w:val="20"/>
    </w:rPr>
  </w:style>
  <w:style w:type="table" w:customStyle="1" w:styleId="Tablaconcuadrcula1">
    <w:name w:val="Tabla con cuadrícula1"/>
    <w:basedOn w:val="Tablanormal"/>
    <w:next w:val="Tablaconcuadrcula"/>
    <w:uiPriority w:val="39"/>
    <w:rsid w:val="0004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C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4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generg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IET">
      <a:dk1>
        <a:srgbClr val="4C4C4C"/>
      </a:dk1>
      <a:lt1>
        <a:srgbClr val="CBCBCB"/>
      </a:lt1>
      <a:dk2>
        <a:srgbClr val="4C4C4C"/>
      </a:dk2>
      <a:lt2>
        <a:srgbClr val="E4D845"/>
      </a:lt2>
      <a:accent1>
        <a:srgbClr val="005152"/>
      </a:accent1>
      <a:accent2>
        <a:srgbClr val="C5B91D"/>
      </a:accent2>
      <a:accent3>
        <a:srgbClr val="009A9E"/>
      </a:accent3>
      <a:accent4>
        <a:srgbClr val="6565FF"/>
      </a:accent4>
      <a:accent5>
        <a:srgbClr val="99CC00"/>
      </a:accent5>
      <a:accent6>
        <a:srgbClr val="C5B91D"/>
      </a:accent6>
      <a:hlink>
        <a:srgbClr val="A5A5A5"/>
      </a:hlink>
      <a:folHlink>
        <a:srgbClr val="7F7F7F"/>
      </a:folHlink>
    </a:clrScheme>
    <a:fontScheme name="AIET">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5511-6B2F-4065-9EE7-2A5E0EFA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lvillalba</dc:creator>
  <cp:lastModifiedBy>Maite Delamo del Castillo</cp:lastModifiedBy>
  <cp:revision>2</cp:revision>
  <cp:lastPrinted>2019-03-13T12:12:00Z</cp:lastPrinted>
  <dcterms:created xsi:type="dcterms:W3CDTF">2023-10-30T11:00:00Z</dcterms:created>
  <dcterms:modified xsi:type="dcterms:W3CDTF">2023-10-30T11:00:00Z</dcterms:modified>
</cp:coreProperties>
</file>