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0B4CF" w14:textId="67D333F1" w:rsidR="00697444" w:rsidRDefault="00697444" w:rsidP="00697444">
      <w:pPr>
        <w:jc w:val="both"/>
        <w:rPr>
          <w:b/>
        </w:rPr>
      </w:pPr>
      <w:r>
        <w:rPr>
          <w:b/>
        </w:rPr>
        <w:t xml:space="preserve">1 </w:t>
      </w:r>
      <w:r w:rsidRPr="005D5A81">
        <w:rPr>
          <w:b/>
        </w:rPr>
        <w:t>INSTITUCIONAL</w:t>
      </w:r>
    </w:p>
    <w:p w14:paraId="2C7C8044" w14:textId="77777777" w:rsidR="00697444" w:rsidRDefault="00697444" w:rsidP="00697444">
      <w:pPr>
        <w:jc w:val="both"/>
        <w:rPr>
          <w:b/>
        </w:rPr>
      </w:pPr>
    </w:p>
    <w:p w14:paraId="49351C00" w14:textId="2639A8A0" w:rsidR="00697444" w:rsidRPr="00697444" w:rsidRDefault="00697444" w:rsidP="00697444">
      <w:pPr>
        <w:pStyle w:val="Prrafodelista"/>
        <w:numPr>
          <w:ilvl w:val="1"/>
          <w:numId w:val="18"/>
        </w:numPr>
        <w:jc w:val="both"/>
        <w:rPr>
          <w:b/>
        </w:rPr>
      </w:pPr>
      <w:proofErr w:type="spellStart"/>
      <w:r w:rsidRPr="00697444">
        <w:rPr>
          <w:b/>
        </w:rPr>
        <w:t>Informaci</w:t>
      </w:r>
      <w:r w:rsidRPr="00697444">
        <w:rPr>
          <w:rFonts w:hint="eastAsia"/>
          <w:b/>
        </w:rPr>
        <w:t>ó</w:t>
      </w:r>
      <w:r w:rsidRPr="00697444">
        <w:rPr>
          <w:b/>
        </w:rPr>
        <w:t>n</w:t>
      </w:r>
      <w:proofErr w:type="spellEnd"/>
      <w:r w:rsidRPr="00697444">
        <w:rPr>
          <w:b/>
        </w:rPr>
        <w:t xml:space="preserve"> general</w:t>
      </w:r>
    </w:p>
    <w:p w14:paraId="325FF4A8" w14:textId="77777777" w:rsidR="00697444" w:rsidRPr="00697444" w:rsidRDefault="00697444" w:rsidP="00697444">
      <w:pPr>
        <w:pStyle w:val="Prrafodelista"/>
        <w:ind w:left="360"/>
        <w:jc w:val="both"/>
        <w:rPr>
          <w:b/>
        </w:rPr>
      </w:pPr>
    </w:p>
    <w:p w14:paraId="15800BB0" w14:textId="77777777" w:rsidR="00697444" w:rsidRPr="00EF359C" w:rsidRDefault="00697444" w:rsidP="00697444">
      <w:pPr>
        <w:pStyle w:val="Prrafodelista"/>
        <w:numPr>
          <w:ilvl w:val="0"/>
          <w:numId w:val="16"/>
        </w:numPr>
        <w:jc w:val="both"/>
        <w:rPr>
          <w:b/>
        </w:rPr>
      </w:pPr>
      <w:proofErr w:type="spellStart"/>
      <w:r w:rsidRPr="00EF359C">
        <w:rPr>
          <w:b/>
        </w:rPr>
        <w:t>Información</w:t>
      </w:r>
      <w:proofErr w:type="spellEnd"/>
      <w:r w:rsidRPr="00EF359C">
        <w:rPr>
          <w:b/>
        </w:rPr>
        <w:t xml:space="preserve"> </w:t>
      </w:r>
      <w:proofErr w:type="spellStart"/>
      <w:r w:rsidRPr="00EF359C">
        <w:rPr>
          <w:b/>
        </w:rPr>
        <w:t>histórica</w:t>
      </w:r>
      <w:proofErr w:type="spellEnd"/>
    </w:p>
    <w:p w14:paraId="6C4D10B0" w14:textId="77777777" w:rsidR="00697444" w:rsidRDefault="00697444" w:rsidP="00697444">
      <w:pPr>
        <w:jc w:val="both"/>
      </w:pPr>
      <w:r w:rsidRPr="005D5A81">
        <w:t>La Agencia Insular de Energía de Tenerife, Fundación Canaria, con número de CIF: G-38826947 se constituye el 26 de julio de 2005 mediante escritura autorizada por el Notario D. Fernando González de Vallejo González, con número 2.932 de su protocolo e inscrita en el Registro de Fundaciones Canarias con el número 230.</w:t>
      </w:r>
    </w:p>
    <w:p w14:paraId="63862127" w14:textId="77777777" w:rsidR="00697444" w:rsidRPr="005D5A81" w:rsidRDefault="00697444" w:rsidP="00697444">
      <w:pPr>
        <w:jc w:val="both"/>
      </w:pPr>
      <w:r w:rsidRPr="005D5A81">
        <w:t xml:space="preserve">En el ejercicio 2013 tuvo lugar la fusión por absorción de Fundación Canaria ITER (Absorbida) por parte de la Agencia Insular de la Energía de Tenerife, Fundación Canaria (Absorbente), formalizada en escritura pública de fecha 19 de diciembre de 2013, y </w:t>
      </w:r>
      <w:proofErr w:type="spellStart"/>
      <w:r w:rsidRPr="005D5A81">
        <w:t>nº</w:t>
      </w:r>
      <w:proofErr w:type="spellEnd"/>
      <w:r w:rsidRPr="005D5A81">
        <w:t xml:space="preserve"> 3.797 en el protocolo del Sr. Notario del Ilustre Colegio de las Islas Canarias, D. Aránzazu Aznar </w:t>
      </w:r>
      <w:proofErr w:type="spellStart"/>
      <w:r w:rsidRPr="005D5A81">
        <w:t>Ondoño</w:t>
      </w:r>
      <w:proofErr w:type="spellEnd"/>
      <w:r w:rsidRPr="005D5A81">
        <w:t>.</w:t>
      </w:r>
    </w:p>
    <w:p w14:paraId="2BB2C0B1" w14:textId="77777777" w:rsidR="00697444" w:rsidRPr="005D5A81" w:rsidRDefault="00697444" w:rsidP="00697444">
      <w:pPr>
        <w:jc w:val="both"/>
      </w:pPr>
      <w:r w:rsidRPr="005D5A81">
        <w:t>La fusión se llevó a cabo para dar cumplimiento a la Ley Orgánica 2/2012 de Estabilidad Presupuestaria y Sostenibilidad Financiera y el Real Decreto-Ley 20/2012 de medidas para garantizar la estabilidad presupuestaria de fomento de la competitividad, en la que, entre otros aspectos, se persigue la reducción del número de empresas/fundaciones dependientes del Sector público local, con el fin de racionalizar sus costes e implementar estructuras organizativas más eficientes.</w:t>
      </w:r>
    </w:p>
    <w:p w14:paraId="039712E2" w14:textId="77777777" w:rsidR="00697444" w:rsidRDefault="00697444" w:rsidP="00697444">
      <w:pPr>
        <w:spacing w:before="120" w:line="280" w:lineRule="exact"/>
        <w:jc w:val="both"/>
      </w:pPr>
      <w:r w:rsidRPr="0050580A">
        <w:t xml:space="preserve">Como consecuencia de la fusión, la Fundación Absorbida queda extinguida de pleno derecho y transmite en bloque la totalidad de su patrimonio social a la Fundación Absorbente, adquiriendo ésta última por sucesión universal la totalidad de sus derechos y obligaciones. </w:t>
      </w:r>
    </w:p>
    <w:p w14:paraId="55BC0DA4" w14:textId="77777777" w:rsidR="00697444" w:rsidRPr="00485916" w:rsidRDefault="00697444" w:rsidP="00697444">
      <w:pPr>
        <w:spacing w:before="120" w:line="280" w:lineRule="exact"/>
        <w:ind w:firstLine="1843"/>
        <w:jc w:val="both"/>
      </w:pPr>
      <w:r>
        <w:rPr>
          <w:b/>
        </w:rPr>
        <w:t xml:space="preserve">Área del Cabildo Insular de Tenerife a la que se adscribe: </w:t>
      </w:r>
    </w:p>
    <w:p w14:paraId="2A64267E" w14:textId="77777777" w:rsidR="00697444" w:rsidRDefault="00697444" w:rsidP="00697444">
      <w:pPr>
        <w:pStyle w:val="Prrafodelista"/>
        <w:spacing w:line="300" w:lineRule="exact"/>
        <w:ind w:left="792" w:firstLine="1051"/>
        <w:jc w:val="both"/>
        <w:rPr>
          <w:bCs/>
        </w:rPr>
      </w:pPr>
      <w:proofErr w:type="spellStart"/>
      <w:r>
        <w:rPr>
          <w:bCs/>
        </w:rPr>
        <w:t>Área</w:t>
      </w:r>
      <w:proofErr w:type="spellEnd"/>
      <w:r>
        <w:rPr>
          <w:bCs/>
        </w:rPr>
        <w:t xml:space="preserve"> de </w:t>
      </w:r>
      <w:proofErr w:type="spellStart"/>
      <w:r>
        <w:rPr>
          <w:bCs/>
        </w:rPr>
        <w:t>Investigación</w:t>
      </w:r>
      <w:proofErr w:type="spellEnd"/>
      <w:r>
        <w:rPr>
          <w:bCs/>
        </w:rPr>
        <w:t xml:space="preserve">, </w:t>
      </w:r>
      <w:proofErr w:type="spellStart"/>
      <w:r>
        <w:rPr>
          <w:bCs/>
        </w:rPr>
        <w:t>Innovación</w:t>
      </w:r>
      <w:proofErr w:type="spellEnd"/>
      <w:r>
        <w:rPr>
          <w:bCs/>
        </w:rPr>
        <w:t xml:space="preserve"> y Desarrollo.</w:t>
      </w:r>
    </w:p>
    <w:p w14:paraId="5F258869" w14:textId="77777777" w:rsidR="00697444" w:rsidRPr="0050580A" w:rsidRDefault="00697444" w:rsidP="00697444">
      <w:pPr>
        <w:spacing w:before="120" w:line="280" w:lineRule="exact"/>
        <w:jc w:val="both"/>
      </w:pPr>
    </w:p>
    <w:p w14:paraId="3DEF1FC7" w14:textId="77777777" w:rsidR="00697444" w:rsidRPr="00EF359C" w:rsidRDefault="00697444" w:rsidP="00697444">
      <w:pPr>
        <w:pStyle w:val="Prrafodelista"/>
        <w:numPr>
          <w:ilvl w:val="0"/>
          <w:numId w:val="16"/>
        </w:numPr>
        <w:jc w:val="both"/>
        <w:rPr>
          <w:b/>
          <w:bCs/>
        </w:rPr>
      </w:pPr>
      <w:proofErr w:type="spellStart"/>
      <w:r w:rsidRPr="00EF359C">
        <w:rPr>
          <w:b/>
          <w:bCs/>
        </w:rPr>
        <w:t>Información</w:t>
      </w:r>
      <w:proofErr w:type="spellEnd"/>
      <w:r w:rsidRPr="00EF359C">
        <w:rPr>
          <w:b/>
          <w:bCs/>
        </w:rPr>
        <w:t xml:space="preserve"> </w:t>
      </w:r>
      <w:proofErr w:type="spellStart"/>
      <w:r w:rsidRPr="00EF359C">
        <w:rPr>
          <w:b/>
          <w:bCs/>
        </w:rPr>
        <w:t>geográfica</w:t>
      </w:r>
      <w:proofErr w:type="spellEnd"/>
    </w:p>
    <w:p w14:paraId="19A2E3E5" w14:textId="34BBF364" w:rsidR="00697444" w:rsidRDefault="00697444" w:rsidP="00697444">
      <w:pPr>
        <w:jc w:val="both"/>
      </w:pPr>
      <w:r w:rsidRPr="005D5A81">
        <w:t>Su domicilio social se encuentra establecido en el Polígono Industrial de Granadilla, s/n, 38600. Granadilla de Abona, Santa Cruz de Tenerife.</w:t>
      </w:r>
    </w:p>
    <w:p w14:paraId="29750A96" w14:textId="77777777" w:rsidR="00697444" w:rsidRDefault="00697444" w:rsidP="00697444">
      <w:pPr>
        <w:jc w:val="both"/>
      </w:pPr>
    </w:p>
    <w:p w14:paraId="190D906D" w14:textId="77777777" w:rsidR="00697444" w:rsidRPr="00EF359C" w:rsidRDefault="00697444" w:rsidP="00697444">
      <w:pPr>
        <w:pStyle w:val="Prrafodelista"/>
        <w:numPr>
          <w:ilvl w:val="0"/>
          <w:numId w:val="16"/>
        </w:numPr>
        <w:jc w:val="both"/>
        <w:rPr>
          <w:b/>
          <w:bCs/>
        </w:rPr>
      </w:pPr>
      <w:proofErr w:type="spellStart"/>
      <w:r w:rsidRPr="00EF359C">
        <w:rPr>
          <w:b/>
          <w:bCs/>
        </w:rPr>
        <w:t>Información</w:t>
      </w:r>
      <w:proofErr w:type="spellEnd"/>
      <w:r w:rsidRPr="00EF359C">
        <w:rPr>
          <w:b/>
          <w:bCs/>
        </w:rPr>
        <w:t xml:space="preserve"> </w:t>
      </w:r>
      <w:proofErr w:type="spellStart"/>
      <w:r w:rsidRPr="00EF359C">
        <w:rPr>
          <w:b/>
          <w:bCs/>
        </w:rPr>
        <w:t>Institucional</w:t>
      </w:r>
      <w:proofErr w:type="spellEnd"/>
    </w:p>
    <w:p w14:paraId="386A5CF8" w14:textId="77777777" w:rsidR="00697444" w:rsidRPr="0050580A" w:rsidRDefault="00697444" w:rsidP="00697444">
      <w:pPr>
        <w:spacing w:before="120" w:line="280" w:lineRule="exact"/>
        <w:jc w:val="both"/>
      </w:pPr>
      <w:r w:rsidRPr="0050580A">
        <w:t xml:space="preserve">La fusión fue aprobada por los Patronatos de las Fundaciones Absorbida y Absorbente el 20 de noviembre de 2013. A fecha de 19 de junio de 2014 la Comisión Ejecutiva del Protectorado de Fundaciones Canarias aprueba su inscripción en el Registro de Fundaciones Canarias. </w:t>
      </w:r>
    </w:p>
    <w:p w14:paraId="637D78D9" w14:textId="77777777" w:rsidR="00697444" w:rsidRPr="0050580A" w:rsidRDefault="00697444" w:rsidP="00697444">
      <w:pPr>
        <w:spacing w:before="120" w:line="280" w:lineRule="exact"/>
        <w:jc w:val="both"/>
      </w:pPr>
      <w:r w:rsidRPr="0050580A">
        <w:t xml:space="preserve">La fusión se llevó a cabo para dar cumplimiento a la Ley Orgánica 2/2012 de Estabilidad Presupuestaria y Sostenibilidad Financiera y el Real Decreto-Ley 20/2012 de medidas para garantizar la estabilidad presupuestaria de fomento de la competitividad, en la que, entre otros aspectos, se persigue la reducción del número de empresas/fundaciones dependientes del Sector público local, con el fin de racionalizar sus costes e implementar estructuras organizativas más eficientes. </w:t>
      </w:r>
    </w:p>
    <w:p w14:paraId="5F92061B" w14:textId="3992E324" w:rsidR="00697444" w:rsidRDefault="00697444" w:rsidP="00697444">
      <w:pPr>
        <w:spacing w:before="120" w:line="280" w:lineRule="exact"/>
        <w:jc w:val="both"/>
      </w:pPr>
      <w:r w:rsidRPr="0050580A">
        <w:t>Además, se justifica por la sinergia en la reducción de costes, la intensificación en el control de la gestión, unificación de recursos y</w:t>
      </w:r>
      <w:r>
        <w:t>,</w:t>
      </w:r>
      <w:r w:rsidRPr="0050580A">
        <w:t xml:space="preserve"> en resumen, obtención de una única fundación pública más eficiente. </w:t>
      </w:r>
    </w:p>
    <w:p w14:paraId="5320B3BE" w14:textId="77777777" w:rsidR="009A6DAE" w:rsidRDefault="009A6DAE" w:rsidP="00697444">
      <w:pPr>
        <w:spacing w:before="120" w:line="280" w:lineRule="exact"/>
        <w:jc w:val="both"/>
      </w:pPr>
    </w:p>
    <w:p w14:paraId="00011B85" w14:textId="77777777" w:rsidR="00697444" w:rsidRPr="00EF359C" w:rsidRDefault="00697444" w:rsidP="00697444">
      <w:pPr>
        <w:pStyle w:val="Prrafodelista"/>
        <w:numPr>
          <w:ilvl w:val="0"/>
          <w:numId w:val="16"/>
        </w:numPr>
        <w:spacing w:before="120" w:line="280" w:lineRule="exact"/>
        <w:jc w:val="both"/>
        <w:rPr>
          <w:b/>
          <w:bCs/>
        </w:rPr>
      </w:pPr>
      <w:proofErr w:type="spellStart"/>
      <w:r w:rsidRPr="00EF359C">
        <w:rPr>
          <w:b/>
          <w:bCs/>
        </w:rPr>
        <w:lastRenderedPageBreak/>
        <w:t>Información</w:t>
      </w:r>
      <w:proofErr w:type="spellEnd"/>
      <w:r w:rsidRPr="00EF359C">
        <w:rPr>
          <w:b/>
          <w:bCs/>
        </w:rPr>
        <w:t xml:space="preserve"> social y cultural</w:t>
      </w:r>
    </w:p>
    <w:p w14:paraId="45896B66" w14:textId="0A23EC5F" w:rsidR="00697444" w:rsidRDefault="00697444" w:rsidP="00697444">
      <w:pPr>
        <w:spacing w:before="120" w:line="280" w:lineRule="exact"/>
        <w:jc w:val="both"/>
      </w:pPr>
      <w:r w:rsidRPr="0050580A">
        <w:t xml:space="preserve">Tras la absorción el objeto social de la Fundación es; la promoción, desarrollo y potenciación de actividades científicas, técnicas y económicas que favorezcan la disminución de la dependencia energética y la racionalización en la producción y consumo de energía de forma que se alcance el nivel más alto de autosuficiencia energética en el territorio </w:t>
      </w:r>
      <w:proofErr w:type="gramStart"/>
      <w:r>
        <w:t>i</w:t>
      </w:r>
      <w:r w:rsidRPr="0050580A">
        <w:t>nsular</w:t>
      </w:r>
      <w:proofErr w:type="gramEnd"/>
      <w:r w:rsidRPr="0050580A">
        <w:t xml:space="preserve"> así como garantizar suministros energéticos mínimos para la producción y elevación de agua potable ante situaciones excepcionales.</w:t>
      </w:r>
      <w:r w:rsidRPr="0074309A">
        <w:t xml:space="preserve"> </w:t>
      </w:r>
    </w:p>
    <w:p w14:paraId="1F2F9DC1" w14:textId="77777777" w:rsidR="00697444" w:rsidRDefault="00697444" w:rsidP="00697444">
      <w:pPr>
        <w:spacing w:before="120" w:line="280" w:lineRule="exact"/>
        <w:jc w:val="both"/>
      </w:pPr>
    </w:p>
    <w:p w14:paraId="43E9F6BB" w14:textId="77777777" w:rsidR="00697444" w:rsidRDefault="00697444" w:rsidP="00697444">
      <w:pPr>
        <w:pStyle w:val="Prrafodelista"/>
        <w:numPr>
          <w:ilvl w:val="0"/>
          <w:numId w:val="16"/>
        </w:numPr>
        <w:spacing w:before="120" w:line="280" w:lineRule="exact"/>
        <w:jc w:val="both"/>
        <w:rPr>
          <w:b/>
          <w:bCs/>
        </w:rPr>
      </w:pPr>
      <w:proofErr w:type="spellStart"/>
      <w:r w:rsidRPr="00EF359C">
        <w:rPr>
          <w:b/>
          <w:bCs/>
        </w:rPr>
        <w:t>Información</w:t>
      </w:r>
      <w:proofErr w:type="spellEnd"/>
      <w:r w:rsidRPr="00EF359C">
        <w:rPr>
          <w:b/>
          <w:bCs/>
        </w:rPr>
        <w:t xml:space="preserve"> </w:t>
      </w:r>
      <w:proofErr w:type="spellStart"/>
      <w:r w:rsidRPr="00EF359C">
        <w:rPr>
          <w:b/>
          <w:bCs/>
        </w:rPr>
        <w:t>económica</w:t>
      </w:r>
      <w:proofErr w:type="spellEnd"/>
    </w:p>
    <w:p w14:paraId="01AB4100" w14:textId="77777777" w:rsidR="00697444" w:rsidRPr="00485916" w:rsidRDefault="00697444" w:rsidP="00697444">
      <w:pPr>
        <w:spacing w:after="120" w:line="300" w:lineRule="exact"/>
        <w:jc w:val="both"/>
      </w:pPr>
      <w:r w:rsidRPr="00485916">
        <w:t xml:space="preserve">En los últimos ejercicios se redujo la ejecución de proyectos de </w:t>
      </w:r>
      <w:proofErr w:type="spellStart"/>
      <w:r w:rsidRPr="00485916">
        <w:t>I+D+i+d</w:t>
      </w:r>
      <w:proofErr w:type="spellEnd"/>
      <w:r w:rsidRPr="00485916">
        <w:t>, y el desarrollo de los fines fundacionales, quedando reflejado en el resultado de la Cuenta de Pérdidas y Ganancias y en la configuración de la misma. En este sentido, las donaciones recibidas de Iter cobraron mayor protagonismo en la línea de “Subvenciones, donaciones y legados imputados al excedente del ejercicio” en las cuentas anuales 2021 y 2022, para el soporte de la entidad. Así mismo, la minoración de ejecución de proyectos supuso la disminución de gastos directamente relacionados con la ejecución de los mismos.</w:t>
      </w:r>
    </w:p>
    <w:p w14:paraId="21E9410B" w14:textId="77777777" w:rsidR="00697444" w:rsidRPr="00485916" w:rsidRDefault="00697444" w:rsidP="00697444">
      <w:pPr>
        <w:spacing w:after="120" w:line="300" w:lineRule="exact"/>
        <w:jc w:val="both"/>
      </w:pPr>
      <w:r w:rsidRPr="00485916">
        <w:t xml:space="preserve">Como resultado de lo anterior, el objetivo desde 2022 fue el de finalizar los proyectos en curso e iniciar el proceso de disolución de la Fundación, incluyendo la subrogación del personal a sociedades del Grupo Iter (previo informe favorable de la Dirección Insular de RRHH del Excmo. Cabildo Insular de Tenerife). Por este motivo, los gastos de personal incurridos en 2022 fueron significativamente inferiores a los de ejercicios precedentes. </w:t>
      </w:r>
    </w:p>
    <w:p w14:paraId="0C7104A4" w14:textId="77777777" w:rsidR="00697444" w:rsidRPr="00485916" w:rsidRDefault="00697444" w:rsidP="00697444">
      <w:pPr>
        <w:spacing w:after="120" w:line="300" w:lineRule="exact"/>
        <w:jc w:val="both"/>
      </w:pPr>
      <w:r w:rsidRPr="00485916">
        <w:t>Durante el ejercicio 2023 la Fundación solamente ha desarrollado acciones de gestión y administración necesarias para su mantenimiento hasta la formalización de su extinción. En consecuencia, la cuenta de Pérdidas y Ganancias refleja únicamente algunos gastos de gestión, principalmente gastos por el mantenimiento de cuenta en servicios bancarios.</w:t>
      </w:r>
    </w:p>
    <w:p w14:paraId="66CBB030" w14:textId="77777777" w:rsidR="00697444" w:rsidRPr="00485916" w:rsidRDefault="00697444" w:rsidP="00697444">
      <w:pPr>
        <w:pStyle w:val="Prrafodelista"/>
        <w:spacing w:after="120" w:line="300" w:lineRule="exact"/>
        <w:ind w:left="851"/>
        <w:jc w:val="both"/>
        <w:rPr>
          <w:rFonts w:asciiTheme="minorHAnsi" w:hAnsiTheme="minorHAnsi" w:cstheme="minorBidi"/>
          <w:color w:val="auto"/>
          <w:sz w:val="22"/>
          <w:szCs w:val="22"/>
          <w:lang w:val="es-ES"/>
        </w:rPr>
      </w:pPr>
    </w:p>
    <w:p w14:paraId="2F330C83" w14:textId="77777777" w:rsidR="00697444" w:rsidRPr="00485916" w:rsidRDefault="00697444" w:rsidP="00697444">
      <w:pPr>
        <w:pStyle w:val="Prrafodelista"/>
        <w:numPr>
          <w:ilvl w:val="0"/>
          <w:numId w:val="17"/>
        </w:numPr>
        <w:spacing w:after="120" w:line="300" w:lineRule="exact"/>
        <w:ind w:left="851" w:hanging="284"/>
        <w:jc w:val="both"/>
        <w:rPr>
          <w:rFonts w:asciiTheme="minorHAnsi" w:hAnsiTheme="minorHAnsi" w:cstheme="minorBidi"/>
          <w:color w:val="auto"/>
          <w:sz w:val="22"/>
          <w:szCs w:val="22"/>
        </w:rPr>
      </w:pPr>
      <w:proofErr w:type="spellStart"/>
      <w:r w:rsidRPr="00485916">
        <w:rPr>
          <w:rFonts w:asciiTheme="minorHAnsi" w:hAnsiTheme="minorHAnsi" w:cstheme="minorBidi"/>
          <w:sz w:val="22"/>
          <w:szCs w:val="22"/>
        </w:rPr>
        <w:t>Cierre</w:t>
      </w:r>
      <w:proofErr w:type="spellEnd"/>
      <w:r w:rsidRPr="00485916">
        <w:rPr>
          <w:rFonts w:asciiTheme="minorHAnsi" w:hAnsiTheme="minorHAnsi" w:cstheme="minorBidi"/>
          <w:sz w:val="22"/>
          <w:szCs w:val="22"/>
        </w:rPr>
        <w:t xml:space="preserve"> </w:t>
      </w:r>
      <w:proofErr w:type="spellStart"/>
      <w:r w:rsidRPr="00485916">
        <w:rPr>
          <w:rFonts w:asciiTheme="minorHAnsi" w:hAnsiTheme="minorHAnsi" w:cstheme="minorBidi"/>
          <w:sz w:val="22"/>
          <w:szCs w:val="22"/>
        </w:rPr>
        <w:t>previsto</w:t>
      </w:r>
      <w:proofErr w:type="spellEnd"/>
      <w:r w:rsidRPr="00485916">
        <w:rPr>
          <w:rFonts w:asciiTheme="minorHAnsi" w:hAnsiTheme="minorHAnsi" w:cstheme="minorBidi"/>
          <w:sz w:val="22"/>
          <w:szCs w:val="22"/>
        </w:rPr>
        <w:t xml:space="preserve"> a 31/12/2024 </w:t>
      </w:r>
    </w:p>
    <w:p w14:paraId="5473C6B8" w14:textId="77777777" w:rsidR="00697444" w:rsidRPr="00485916" w:rsidRDefault="00697444" w:rsidP="00697444">
      <w:pPr>
        <w:spacing w:after="120" w:line="300" w:lineRule="exact"/>
        <w:ind w:left="567"/>
        <w:jc w:val="both"/>
      </w:pPr>
      <w:r w:rsidRPr="00485916">
        <w:t xml:space="preserve">El resultado previsto para el cierre de 2024 es de -366,00€. Pérdida no contemplada en el PAIF aprobado y que corresponde principalmente a los gastos bancarios originados en el ejercicio. </w:t>
      </w:r>
    </w:p>
    <w:p w14:paraId="789B6578" w14:textId="77777777" w:rsidR="00697444" w:rsidRPr="00485916" w:rsidRDefault="00697444" w:rsidP="00697444">
      <w:pPr>
        <w:pStyle w:val="Prrafodelista"/>
        <w:spacing w:after="120" w:line="300" w:lineRule="exact"/>
        <w:ind w:left="851"/>
        <w:jc w:val="both"/>
        <w:rPr>
          <w:rFonts w:asciiTheme="minorHAnsi" w:hAnsiTheme="minorHAnsi" w:cstheme="minorBidi"/>
          <w:color w:val="auto"/>
          <w:sz w:val="22"/>
          <w:szCs w:val="22"/>
        </w:rPr>
      </w:pPr>
      <w:r w:rsidRPr="00485916">
        <w:rPr>
          <w:rFonts w:asciiTheme="minorHAnsi" w:hAnsiTheme="minorHAnsi" w:cstheme="minorBidi"/>
          <w:color w:val="auto"/>
          <w:sz w:val="22"/>
          <w:szCs w:val="22"/>
          <w:lang w:val="es-ES"/>
        </w:rPr>
        <w:t xml:space="preserve"> </w:t>
      </w:r>
    </w:p>
    <w:p w14:paraId="7C90AA9F" w14:textId="77777777" w:rsidR="00697444" w:rsidRPr="00485916" w:rsidRDefault="00697444" w:rsidP="00697444">
      <w:pPr>
        <w:pStyle w:val="Prrafodelista"/>
        <w:numPr>
          <w:ilvl w:val="0"/>
          <w:numId w:val="17"/>
        </w:numPr>
        <w:spacing w:after="120" w:line="300" w:lineRule="exact"/>
        <w:ind w:left="851" w:hanging="284"/>
        <w:jc w:val="both"/>
        <w:rPr>
          <w:rFonts w:asciiTheme="minorHAnsi" w:hAnsiTheme="minorHAnsi" w:cstheme="minorBidi"/>
          <w:color w:val="auto"/>
          <w:sz w:val="22"/>
          <w:szCs w:val="22"/>
        </w:rPr>
      </w:pPr>
      <w:r w:rsidRPr="00485916">
        <w:rPr>
          <w:rFonts w:asciiTheme="minorHAnsi" w:hAnsiTheme="minorHAnsi" w:cstheme="minorBidi"/>
          <w:sz w:val="22"/>
          <w:szCs w:val="22"/>
          <w:lang w:val="es-ES"/>
        </w:rPr>
        <w:t xml:space="preserve">Resultado previsto a 31/12/2025 </w:t>
      </w:r>
    </w:p>
    <w:p w14:paraId="54EE83AE" w14:textId="77777777" w:rsidR="00697444" w:rsidRPr="00485916" w:rsidRDefault="00697444" w:rsidP="00697444">
      <w:pPr>
        <w:spacing w:after="120" w:line="300" w:lineRule="exact"/>
        <w:ind w:left="567"/>
        <w:jc w:val="both"/>
      </w:pPr>
      <w:r w:rsidRPr="00485916">
        <w:t xml:space="preserve">Para el ejercicio 2025 se estima un resultado contable de cero, como resultado de la inactividad y extinción de la Fundación.   </w:t>
      </w:r>
    </w:p>
    <w:sectPr w:rsidR="00697444" w:rsidRPr="00485916" w:rsidSect="006C1B9B">
      <w:headerReference w:type="default" r:id="rId8"/>
      <w:footerReference w:type="default" r:id="rId9"/>
      <w:pgSz w:w="11906" w:h="16838"/>
      <w:pgMar w:top="1951" w:right="991" w:bottom="141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93EA8" w14:textId="77777777" w:rsidR="009218D4" w:rsidRDefault="009218D4" w:rsidP="00011E81">
      <w:pPr>
        <w:spacing w:line="240" w:lineRule="auto"/>
      </w:pPr>
      <w:r>
        <w:separator/>
      </w:r>
    </w:p>
  </w:endnote>
  <w:endnote w:type="continuationSeparator" w:id="0">
    <w:p w14:paraId="3612D341" w14:textId="77777777" w:rsidR="009218D4" w:rsidRDefault="009218D4" w:rsidP="00011E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lanoGrotesque-Bold">
    <w:altName w:val="Arial"/>
    <w:panose1 w:val="00000000000000000000"/>
    <w:charset w:val="00"/>
    <w:family w:val="modern"/>
    <w:notTrueType/>
    <w:pitch w:val="variable"/>
    <w:sig w:usb0="00000001" w:usb1="00000000" w:usb2="00000000" w:usb3="00000000" w:csb0="00000093" w:csb1="00000000"/>
  </w:font>
  <w:font w:name="GalanoGrotesque-Light">
    <w:altName w:val="Arial"/>
    <w:panose1 w:val="00000000000000000000"/>
    <w:charset w:val="00"/>
    <w:family w:val="modern"/>
    <w:notTrueType/>
    <w:pitch w:val="variable"/>
    <w:sig w:usb0="00000001" w:usb1="00000000" w:usb2="00000000" w:usb3="00000000" w:csb0="00000093" w:csb1="00000000"/>
  </w:font>
  <w:font w:name="GalanoGrotesque-Medium">
    <w:altName w:val="Arial"/>
    <w:panose1 w:val="00000000000000000000"/>
    <w:charset w:val="00"/>
    <w:family w:val="moder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EB8B" w14:textId="77777777" w:rsidR="005F38CE" w:rsidRDefault="005F38CE" w:rsidP="005F38CE">
    <w:pPr>
      <w:pStyle w:val="Piedepgina"/>
      <w:jc w:val="center"/>
      <w:rPr>
        <w:rFonts w:ascii="Calibri" w:hAnsi="Calibri"/>
        <w:color w:val="4C4C4C"/>
        <w:sz w:val="16"/>
        <w:szCs w:val="16"/>
      </w:rPr>
    </w:pPr>
  </w:p>
  <w:p w14:paraId="304C180D" w14:textId="77777777" w:rsidR="005F38CE" w:rsidRDefault="00816CD6" w:rsidP="005F38CE">
    <w:pPr>
      <w:pStyle w:val="Piedepgina"/>
      <w:jc w:val="center"/>
      <w:rPr>
        <w:rFonts w:ascii="Calibri" w:hAnsi="Calibri"/>
        <w:color w:val="4C4C4C"/>
        <w:sz w:val="16"/>
        <w:szCs w:val="16"/>
      </w:rPr>
    </w:pPr>
    <w:r>
      <w:rPr>
        <w:rFonts w:ascii="GalanoGrotesque-Light" w:hAnsi="GalanoGrotesque-Light"/>
        <w:noProof/>
        <w:color w:val="4C4C4C"/>
        <w:sz w:val="18"/>
        <w:szCs w:val="18"/>
        <w:lang w:eastAsia="es-ES"/>
      </w:rPr>
      <mc:AlternateContent>
        <mc:Choice Requires="wps">
          <w:drawing>
            <wp:anchor distT="0" distB="0" distL="114300" distR="114300" simplePos="0" relativeHeight="251659264" behindDoc="1" locked="0" layoutInCell="1" allowOverlap="1" wp14:anchorId="2C251FA7" wp14:editId="273C1CFD">
              <wp:simplePos x="0" y="0"/>
              <wp:positionH relativeFrom="column">
                <wp:posOffset>-1274445</wp:posOffset>
              </wp:positionH>
              <wp:positionV relativeFrom="paragraph">
                <wp:posOffset>45720</wp:posOffset>
              </wp:positionV>
              <wp:extent cx="8216265" cy="404495"/>
              <wp:effectExtent l="0" t="0" r="0" b="0"/>
              <wp:wrapNone/>
              <wp:docPr id="10" name="10 Rectángulo"/>
              <wp:cNvGraphicFramePr/>
              <a:graphic xmlns:a="http://schemas.openxmlformats.org/drawingml/2006/main">
                <a:graphicData uri="http://schemas.microsoft.com/office/word/2010/wordprocessingShape">
                  <wps:wsp>
                    <wps:cNvSpPr/>
                    <wps:spPr>
                      <a:xfrm>
                        <a:off x="0" y="0"/>
                        <a:ext cx="8216265" cy="404495"/>
                      </a:xfrm>
                      <a:prstGeom prst="rect">
                        <a:avLst/>
                      </a:prstGeom>
                      <a:solidFill>
                        <a:srgbClr val="E4D845">
                          <a:alpha val="49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58F2C0" id="10 Rectángulo" o:spid="_x0000_s1026" style="position:absolute;margin-left:-100.35pt;margin-top:3.6pt;width:646.95pt;height:31.8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" fillcolor="#e4d845" stroked="f" strokeweight="2pt">
              <v:fill opacity="32125f"/>
            </v:rect>
          </w:pict>
        </mc:Fallback>
      </mc:AlternateContent>
    </w:r>
  </w:p>
  <w:p w14:paraId="72437B6B" w14:textId="77777777" w:rsidR="009544A6" w:rsidRPr="005F38CE" w:rsidRDefault="007532BC" w:rsidP="00816CD6">
    <w:pPr>
      <w:pStyle w:val="Piepgina"/>
      <w:rPr>
        <w:color w:val="6C898C"/>
      </w:rPr>
    </w:pPr>
    <w:r>
      <w:t xml:space="preserve">Agencia Insular de Energía de Tenerife, Fundación Canaria - </w:t>
    </w:r>
    <w:r w:rsidR="005F38CE">
      <w:t>Polígono</w:t>
    </w:r>
    <w:r w:rsidR="009544A6" w:rsidRPr="005F38CE">
      <w:t xml:space="preserve"> Industrial de Granadilla</w:t>
    </w:r>
    <w:r w:rsidR="00A60046" w:rsidRPr="005F38CE">
      <w:t>,</w:t>
    </w:r>
    <w:r w:rsidR="009544A6" w:rsidRPr="005F38CE">
      <w:t xml:space="preserve"> s/n, 38600 - Granadilla de Abona, Tenerife, España</w:t>
    </w:r>
  </w:p>
  <w:p w14:paraId="21E2A9C4" w14:textId="77777777" w:rsidR="009544A6" w:rsidRPr="005F38CE" w:rsidRDefault="009544A6" w:rsidP="00816CD6">
    <w:pPr>
      <w:pStyle w:val="Piepgina"/>
      <w:rPr>
        <w:color w:val="6C898C"/>
        <w:lang w:val="en-US"/>
      </w:rPr>
    </w:pPr>
    <w:proofErr w:type="spellStart"/>
    <w:r w:rsidRPr="005F38CE">
      <w:rPr>
        <w:b/>
        <w:lang w:val="en-US"/>
      </w:rPr>
      <w:t>tel</w:t>
    </w:r>
    <w:proofErr w:type="spellEnd"/>
    <w:r w:rsidRPr="005F38CE">
      <w:rPr>
        <w:lang w:val="en-US"/>
      </w:rPr>
      <w:t xml:space="preserve"> +34 922 747 772 · </w:t>
    </w:r>
    <w:r w:rsidRPr="005F38CE">
      <w:rPr>
        <w:b/>
        <w:lang w:val="en-US"/>
      </w:rPr>
      <w:t>mail</w:t>
    </w:r>
    <w:r w:rsidRPr="005F38CE">
      <w:rPr>
        <w:lang w:val="en-US"/>
      </w:rPr>
      <w:t xml:space="preserve"> agenergia@agenergia.org · </w:t>
    </w:r>
    <w:r w:rsidRPr="005F38CE">
      <w:rPr>
        <w:b/>
        <w:lang w:val="en-US"/>
      </w:rPr>
      <w:t>web</w:t>
    </w:r>
    <w:r w:rsidRPr="005F38CE">
      <w:rPr>
        <w:lang w:val="en-US"/>
      </w:rPr>
      <w:t xml:space="preserve"> </w:t>
    </w:r>
    <w:hyperlink r:id="rId1" w:history="1">
      <w:r w:rsidR="00A60046" w:rsidRPr="005F38CE">
        <w:rPr>
          <w:rStyle w:val="Hipervnculo"/>
          <w:lang w:val="en-US"/>
        </w:rPr>
        <w:t>www.agenergia.org</w:t>
      </w:r>
    </w:hyperlink>
    <w:r w:rsidR="00A60046" w:rsidRPr="005F38CE">
      <w:rPr>
        <w:lang w:val="en-US"/>
      </w:rPr>
      <w:t xml:space="preserve"> ·</w:t>
    </w:r>
    <w:r w:rsidR="00A60046" w:rsidRPr="00ED05A4">
      <w:rPr>
        <w:b/>
        <w:lang w:val="en-US"/>
      </w:rPr>
      <w:t>CIF:</w:t>
    </w:r>
    <w:r w:rsidR="00A60046" w:rsidRPr="005F38CE">
      <w:rPr>
        <w:lang w:val="en-US"/>
      </w:rPr>
      <w:t xml:space="preserve"> G38826947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06B64" w14:textId="77777777" w:rsidR="009218D4" w:rsidRDefault="009218D4" w:rsidP="00011E81">
      <w:pPr>
        <w:spacing w:line="240" w:lineRule="auto"/>
      </w:pPr>
      <w:r>
        <w:separator/>
      </w:r>
    </w:p>
  </w:footnote>
  <w:footnote w:type="continuationSeparator" w:id="0">
    <w:p w14:paraId="5F684384" w14:textId="77777777" w:rsidR="009218D4" w:rsidRDefault="009218D4" w:rsidP="00011E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5C7A" w14:textId="77777777" w:rsidR="009544A6" w:rsidRDefault="00005B62">
    <w:pPr>
      <w:pStyle w:val="Encabezado"/>
    </w:pPr>
    <w:r>
      <w:rPr>
        <w:noProof/>
        <w:lang w:eastAsia="es-ES"/>
      </w:rPr>
      <w:drawing>
        <wp:anchor distT="0" distB="0" distL="114300" distR="123190" simplePos="0" relativeHeight="251661312" behindDoc="1" locked="0" layoutInCell="1" allowOverlap="1" wp14:anchorId="4522D53E" wp14:editId="645B8BBB">
          <wp:simplePos x="0" y="0"/>
          <wp:positionH relativeFrom="column">
            <wp:posOffset>5708650</wp:posOffset>
          </wp:positionH>
          <wp:positionV relativeFrom="paragraph">
            <wp:posOffset>-635</wp:posOffset>
          </wp:positionV>
          <wp:extent cx="485775" cy="596900"/>
          <wp:effectExtent l="0" t="0" r="9525" b="0"/>
          <wp:wrapNone/>
          <wp:docPr id="1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96900"/>
                  </a:xfrm>
                  <a:prstGeom prst="rect">
                    <a:avLst/>
                  </a:prstGeom>
                  <a:noFill/>
                </pic:spPr>
              </pic:pic>
            </a:graphicData>
          </a:graphic>
          <wp14:sizeRelH relativeFrom="page">
            <wp14:pctWidth>0</wp14:pctWidth>
          </wp14:sizeRelH>
          <wp14:sizeRelV relativeFrom="page">
            <wp14:pctHeight>0</wp14:pctHeight>
          </wp14:sizeRelV>
        </wp:anchor>
      </w:drawing>
    </w:r>
    <w:r w:rsidR="00ED05A4">
      <w:rPr>
        <w:noProof/>
        <w:lang w:eastAsia="es-ES"/>
      </w:rPr>
      <w:drawing>
        <wp:anchor distT="0" distB="0" distL="114300" distR="114300" simplePos="0" relativeHeight="251658240" behindDoc="0" locked="0" layoutInCell="1" allowOverlap="1" wp14:anchorId="270C6777" wp14:editId="21EA149A">
          <wp:simplePos x="0" y="0"/>
          <wp:positionH relativeFrom="column">
            <wp:posOffset>29845</wp:posOffset>
          </wp:positionH>
          <wp:positionV relativeFrom="paragraph">
            <wp:posOffset>-177165</wp:posOffset>
          </wp:positionV>
          <wp:extent cx="1003935" cy="826135"/>
          <wp:effectExtent l="0" t="0" r="5715" b="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a de trabajo 43.png"/>
                  <pic:cNvPicPr/>
                </pic:nvPicPr>
                <pic:blipFill rotWithShape="1">
                  <a:blip r:embed="rId2" cstate="print">
                    <a:extLst>
                      <a:ext uri="{28A0092B-C50C-407E-A947-70E740481C1C}">
                        <a14:useLocalDpi xmlns:a14="http://schemas.microsoft.com/office/drawing/2010/main" val="0"/>
                      </a:ext>
                    </a:extLst>
                  </a:blip>
                  <a:srcRect l="2899" t="5694"/>
                  <a:stretch/>
                </pic:blipFill>
                <pic:spPr bwMode="auto">
                  <a:xfrm>
                    <a:off x="0" y="0"/>
                    <a:ext cx="1003935" cy="826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6D5F41" w14:textId="77777777" w:rsidR="009544A6" w:rsidRDefault="009544A6">
    <w:pPr>
      <w:pStyle w:val="Encabezado"/>
    </w:pPr>
  </w:p>
  <w:p w14:paraId="6CEC1D86" w14:textId="77777777" w:rsidR="00011E81" w:rsidRDefault="00C16B66" w:rsidP="006C1B9B">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484"/>
    <w:multiLevelType w:val="hybridMultilevel"/>
    <w:tmpl w:val="1AF47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402320"/>
    <w:multiLevelType w:val="hybridMultilevel"/>
    <w:tmpl w:val="879C0A98"/>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D065762"/>
    <w:multiLevelType w:val="multilevel"/>
    <w:tmpl w:val="134EEB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53659D"/>
    <w:multiLevelType w:val="hybridMultilevel"/>
    <w:tmpl w:val="23BC4996"/>
    <w:lvl w:ilvl="0" w:tplc="9A1CC93A">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984E04"/>
    <w:multiLevelType w:val="hybridMultilevel"/>
    <w:tmpl w:val="7EDC550C"/>
    <w:lvl w:ilvl="0" w:tplc="9A1CC93A">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D04331"/>
    <w:multiLevelType w:val="hybridMultilevel"/>
    <w:tmpl w:val="4B00D2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9E6A27"/>
    <w:multiLevelType w:val="hybridMultilevel"/>
    <w:tmpl w:val="6FF47E3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0EA6E0A"/>
    <w:multiLevelType w:val="hybridMultilevel"/>
    <w:tmpl w:val="BB926A52"/>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8" w15:restartNumberingAfterBreak="0">
    <w:nsid w:val="26C51D73"/>
    <w:multiLevelType w:val="multilevel"/>
    <w:tmpl w:val="0C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DF58F3"/>
    <w:multiLevelType w:val="hybridMultilevel"/>
    <w:tmpl w:val="4B00D2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DBD4D96"/>
    <w:multiLevelType w:val="hybridMultilevel"/>
    <w:tmpl w:val="802812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E690E7C"/>
    <w:multiLevelType w:val="hybridMultilevel"/>
    <w:tmpl w:val="E5A48C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A8B755A"/>
    <w:multiLevelType w:val="multilevel"/>
    <w:tmpl w:val="0C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C2900E9"/>
    <w:multiLevelType w:val="hybridMultilevel"/>
    <w:tmpl w:val="A70021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F944BB"/>
    <w:multiLevelType w:val="hybridMultilevel"/>
    <w:tmpl w:val="FFFFFFFF"/>
    <w:lvl w:ilvl="0" w:tplc="D0CA663C">
      <w:start w:val="1"/>
      <w:numFmt w:val="lowerLetter"/>
      <w:lvlText w:val="%1)"/>
      <w:lvlJc w:val="left"/>
      <w:pPr>
        <w:ind w:left="1440" w:hanging="360"/>
      </w:pPr>
      <w:rPr>
        <w:rFonts w:cs="Times New Roman"/>
        <w:color w:val="auto"/>
      </w:rPr>
    </w:lvl>
    <w:lvl w:ilvl="1" w:tplc="0C0A0019">
      <w:start w:val="1"/>
      <w:numFmt w:val="lowerLetter"/>
      <w:lvlText w:val="%2."/>
      <w:lvlJc w:val="left"/>
      <w:pPr>
        <w:ind w:left="2160" w:hanging="360"/>
      </w:pPr>
      <w:rPr>
        <w:rFonts w:cs="Times New Roman"/>
      </w:rPr>
    </w:lvl>
    <w:lvl w:ilvl="2" w:tplc="0C0A001B">
      <w:start w:val="1"/>
      <w:numFmt w:val="lowerRoman"/>
      <w:lvlText w:val="%3."/>
      <w:lvlJc w:val="right"/>
      <w:pPr>
        <w:ind w:left="2880" w:hanging="180"/>
      </w:pPr>
      <w:rPr>
        <w:rFonts w:cs="Times New Roman"/>
      </w:rPr>
    </w:lvl>
    <w:lvl w:ilvl="3" w:tplc="0C0A000F">
      <w:start w:val="1"/>
      <w:numFmt w:val="decimal"/>
      <w:lvlText w:val="%4."/>
      <w:lvlJc w:val="left"/>
      <w:pPr>
        <w:ind w:left="3600" w:hanging="360"/>
      </w:pPr>
      <w:rPr>
        <w:rFonts w:cs="Times New Roman"/>
      </w:rPr>
    </w:lvl>
    <w:lvl w:ilvl="4" w:tplc="0C0A0019">
      <w:start w:val="1"/>
      <w:numFmt w:val="lowerLetter"/>
      <w:lvlText w:val="%5."/>
      <w:lvlJc w:val="left"/>
      <w:pPr>
        <w:ind w:left="4320" w:hanging="360"/>
      </w:pPr>
      <w:rPr>
        <w:rFonts w:cs="Times New Roman"/>
      </w:rPr>
    </w:lvl>
    <w:lvl w:ilvl="5" w:tplc="0C0A001B">
      <w:start w:val="1"/>
      <w:numFmt w:val="lowerRoman"/>
      <w:lvlText w:val="%6."/>
      <w:lvlJc w:val="right"/>
      <w:pPr>
        <w:ind w:left="5040" w:hanging="180"/>
      </w:pPr>
      <w:rPr>
        <w:rFonts w:cs="Times New Roman"/>
      </w:rPr>
    </w:lvl>
    <w:lvl w:ilvl="6" w:tplc="0C0A000F">
      <w:start w:val="1"/>
      <w:numFmt w:val="decimal"/>
      <w:lvlText w:val="%7."/>
      <w:lvlJc w:val="left"/>
      <w:pPr>
        <w:ind w:left="5760" w:hanging="360"/>
      </w:pPr>
      <w:rPr>
        <w:rFonts w:cs="Times New Roman"/>
      </w:rPr>
    </w:lvl>
    <w:lvl w:ilvl="7" w:tplc="0C0A0019">
      <w:start w:val="1"/>
      <w:numFmt w:val="lowerLetter"/>
      <w:lvlText w:val="%8."/>
      <w:lvlJc w:val="left"/>
      <w:pPr>
        <w:ind w:left="6480" w:hanging="360"/>
      </w:pPr>
      <w:rPr>
        <w:rFonts w:cs="Times New Roman"/>
      </w:rPr>
    </w:lvl>
    <w:lvl w:ilvl="8" w:tplc="0C0A001B">
      <w:start w:val="1"/>
      <w:numFmt w:val="lowerRoman"/>
      <w:lvlText w:val="%9."/>
      <w:lvlJc w:val="right"/>
      <w:pPr>
        <w:ind w:left="7200" w:hanging="180"/>
      </w:pPr>
      <w:rPr>
        <w:rFonts w:cs="Times New Roman"/>
      </w:rPr>
    </w:lvl>
  </w:abstractNum>
  <w:abstractNum w:abstractNumId="15" w15:restartNumberingAfterBreak="0">
    <w:nsid w:val="56BC20A1"/>
    <w:multiLevelType w:val="hybridMultilevel"/>
    <w:tmpl w:val="CE1A77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9BD4FA4"/>
    <w:multiLevelType w:val="hybridMultilevel"/>
    <w:tmpl w:val="C556FB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AF2750E"/>
    <w:multiLevelType w:val="hybridMultilevel"/>
    <w:tmpl w:val="C556FB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5"/>
  </w:num>
  <w:num w:numId="3">
    <w:abstractNumId w:val="8"/>
  </w:num>
  <w:num w:numId="4">
    <w:abstractNumId w:val="17"/>
  </w:num>
  <w:num w:numId="5">
    <w:abstractNumId w:val="16"/>
  </w:num>
  <w:num w:numId="6">
    <w:abstractNumId w:val="4"/>
  </w:num>
  <w:num w:numId="7">
    <w:abstractNumId w:val="3"/>
  </w:num>
  <w:num w:numId="8">
    <w:abstractNumId w:val="12"/>
  </w:num>
  <w:num w:numId="9">
    <w:abstractNumId w:val="13"/>
  </w:num>
  <w:num w:numId="10">
    <w:abstractNumId w:val="5"/>
  </w:num>
  <w:num w:numId="11">
    <w:abstractNumId w:val="0"/>
  </w:num>
  <w:num w:numId="12">
    <w:abstractNumId w:val="1"/>
  </w:num>
  <w:num w:numId="13">
    <w:abstractNumId w:val="10"/>
  </w:num>
  <w:num w:numId="14">
    <w:abstractNumId w:val="9"/>
  </w:num>
  <w:num w:numId="15">
    <w:abstractNumId w:val="7"/>
  </w:num>
  <w:num w:numId="16">
    <w:abstractNumId w:val="11"/>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E81"/>
    <w:rsid w:val="00000D53"/>
    <w:rsid w:val="00000E37"/>
    <w:rsid w:val="00005B62"/>
    <w:rsid w:val="000063A0"/>
    <w:rsid w:val="0001122E"/>
    <w:rsid w:val="00011E81"/>
    <w:rsid w:val="000125BA"/>
    <w:rsid w:val="00025428"/>
    <w:rsid w:val="000261FF"/>
    <w:rsid w:val="000422D6"/>
    <w:rsid w:val="000425EC"/>
    <w:rsid w:val="000A4C50"/>
    <w:rsid w:val="000C7AE9"/>
    <w:rsid w:val="000E1422"/>
    <w:rsid w:val="00117186"/>
    <w:rsid w:val="00130E91"/>
    <w:rsid w:val="001461C2"/>
    <w:rsid w:val="0016046A"/>
    <w:rsid w:val="001641B4"/>
    <w:rsid w:val="0017396D"/>
    <w:rsid w:val="00180A44"/>
    <w:rsid w:val="001A536B"/>
    <w:rsid w:val="001B0913"/>
    <w:rsid w:val="001D3213"/>
    <w:rsid w:val="001D39DF"/>
    <w:rsid w:val="001F218E"/>
    <w:rsid w:val="001F44D1"/>
    <w:rsid w:val="00214D65"/>
    <w:rsid w:val="00220F45"/>
    <w:rsid w:val="00223AF2"/>
    <w:rsid w:val="002322FC"/>
    <w:rsid w:val="002333C4"/>
    <w:rsid w:val="00243D99"/>
    <w:rsid w:val="00254CE3"/>
    <w:rsid w:val="002975B9"/>
    <w:rsid w:val="002B0A22"/>
    <w:rsid w:val="002B721E"/>
    <w:rsid w:val="002E635D"/>
    <w:rsid w:val="002F176D"/>
    <w:rsid w:val="003046AB"/>
    <w:rsid w:val="00321812"/>
    <w:rsid w:val="00364722"/>
    <w:rsid w:val="003678B1"/>
    <w:rsid w:val="00372D97"/>
    <w:rsid w:val="0037475F"/>
    <w:rsid w:val="003863FD"/>
    <w:rsid w:val="003906B8"/>
    <w:rsid w:val="003C45C8"/>
    <w:rsid w:val="003C7593"/>
    <w:rsid w:val="003E5E8F"/>
    <w:rsid w:val="00441529"/>
    <w:rsid w:val="00451AF2"/>
    <w:rsid w:val="00472F14"/>
    <w:rsid w:val="004A21B5"/>
    <w:rsid w:val="004B23BD"/>
    <w:rsid w:val="004C521C"/>
    <w:rsid w:val="004D21B9"/>
    <w:rsid w:val="004F496B"/>
    <w:rsid w:val="0050580A"/>
    <w:rsid w:val="00530F9E"/>
    <w:rsid w:val="0056700F"/>
    <w:rsid w:val="005875B4"/>
    <w:rsid w:val="0059490B"/>
    <w:rsid w:val="005A30E0"/>
    <w:rsid w:val="005A48CB"/>
    <w:rsid w:val="005A4911"/>
    <w:rsid w:val="005A6380"/>
    <w:rsid w:val="005B2BE5"/>
    <w:rsid w:val="005B44C4"/>
    <w:rsid w:val="005D082F"/>
    <w:rsid w:val="005F38CE"/>
    <w:rsid w:val="005F4B20"/>
    <w:rsid w:val="00607D0F"/>
    <w:rsid w:val="00620AF6"/>
    <w:rsid w:val="00624174"/>
    <w:rsid w:val="00626FC7"/>
    <w:rsid w:val="00636A09"/>
    <w:rsid w:val="006400BF"/>
    <w:rsid w:val="00693127"/>
    <w:rsid w:val="00696E31"/>
    <w:rsid w:val="00697444"/>
    <w:rsid w:val="006A3D07"/>
    <w:rsid w:val="006C1B9B"/>
    <w:rsid w:val="006F7527"/>
    <w:rsid w:val="006F7FF8"/>
    <w:rsid w:val="00703B51"/>
    <w:rsid w:val="0071373E"/>
    <w:rsid w:val="007308C2"/>
    <w:rsid w:val="007532BC"/>
    <w:rsid w:val="00753FE1"/>
    <w:rsid w:val="00763BD6"/>
    <w:rsid w:val="007840AE"/>
    <w:rsid w:val="0078486B"/>
    <w:rsid w:val="00784DF5"/>
    <w:rsid w:val="007A0207"/>
    <w:rsid w:val="007A26BE"/>
    <w:rsid w:val="007B040A"/>
    <w:rsid w:val="007B632A"/>
    <w:rsid w:val="007D6888"/>
    <w:rsid w:val="007E0D3B"/>
    <w:rsid w:val="007F3E9B"/>
    <w:rsid w:val="00801DD3"/>
    <w:rsid w:val="00812031"/>
    <w:rsid w:val="00816CD6"/>
    <w:rsid w:val="00827B51"/>
    <w:rsid w:val="00847873"/>
    <w:rsid w:val="00892256"/>
    <w:rsid w:val="00892F9F"/>
    <w:rsid w:val="008B5C3E"/>
    <w:rsid w:val="00903865"/>
    <w:rsid w:val="009218D4"/>
    <w:rsid w:val="00936200"/>
    <w:rsid w:val="00936BC1"/>
    <w:rsid w:val="0095049E"/>
    <w:rsid w:val="009544A6"/>
    <w:rsid w:val="00961DAD"/>
    <w:rsid w:val="00962C59"/>
    <w:rsid w:val="00996339"/>
    <w:rsid w:val="009A6DAE"/>
    <w:rsid w:val="009A70EA"/>
    <w:rsid w:val="009B60E8"/>
    <w:rsid w:val="009C1717"/>
    <w:rsid w:val="009D311D"/>
    <w:rsid w:val="00A139DC"/>
    <w:rsid w:val="00A60046"/>
    <w:rsid w:val="00A73198"/>
    <w:rsid w:val="00A7407E"/>
    <w:rsid w:val="00AA3C57"/>
    <w:rsid w:val="00AA437E"/>
    <w:rsid w:val="00AB54DE"/>
    <w:rsid w:val="00AC2FC5"/>
    <w:rsid w:val="00AC3478"/>
    <w:rsid w:val="00AE605E"/>
    <w:rsid w:val="00B16DD8"/>
    <w:rsid w:val="00B6031B"/>
    <w:rsid w:val="00B75162"/>
    <w:rsid w:val="00B84522"/>
    <w:rsid w:val="00B86FE0"/>
    <w:rsid w:val="00B965DC"/>
    <w:rsid w:val="00BA6D6A"/>
    <w:rsid w:val="00BA6FEB"/>
    <w:rsid w:val="00BC5C21"/>
    <w:rsid w:val="00BC6095"/>
    <w:rsid w:val="00BE4B54"/>
    <w:rsid w:val="00C07BA6"/>
    <w:rsid w:val="00C16B66"/>
    <w:rsid w:val="00C50DC3"/>
    <w:rsid w:val="00C556D0"/>
    <w:rsid w:val="00C55AAE"/>
    <w:rsid w:val="00C66152"/>
    <w:rsid w:val="00C7052F"/>
    <w:rsid w:val="00C94D19"/>
    <w:rsid w:val="00C97DC6"/>
    <w:rsid w:val="00CB747A"/>
    <w:rsid w:val="00CD3156"/>
    <w:rsid w:val="00CD50D8"/>
    <w:rsid w:val="00CE0D87"/>
    <w:rsid w:val="00D107C1"/>
    <w:rsid w:val="00D30699"/>
    <w:rsid w:val="00D323DA"/>
    <w:rsid w:val="00D40DF7"/>
    <w:rsid w:val="00D81619"/>
    <w:rsid w:val="00DC751A"/>
    <w:rsid w:val="00DD4D6D"/>
    <w:rsid w:val="00DE30A4"/>
    <w:rsid w:val="00DE3D16"/>
    <w:rsid w:val="00DE53D7"/>
    <w:rsid w:val="00E70F93"/>
    <w:rsid w:val="00E94AD1"/>
    <w:rsid w:val="00E9678A"/>
    <w:rsid w:val="00EA5EBE"/>
    <w:rsid w:val="00EB0C94"/>
    <w:rsid w:val="00ED05A4"/>
    <w:rsid w:val="00EF359C"/>
    <w:rsid w:val="00F01677"/>
    <w:rsid w:val="00F1775C"/>
    <w:rsid w:val="00F50DD0"/>
    <w:rsid w:val="00F50EBD"/>
    <w:rsid w:val="00F573B3"/>
    <w:rsid w:val="00F8621C"/>
    <w:rsid w:val="00F967D1"/>
    <w:rsid w:val="00FB2B47"/>
    <w:rsid w:val="00FE59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8536B76"/>
  <w15:docId w15:val="{C08F665C-D241-4B31-967C-C18BD60A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B9B"/>
    <w:pPr>
      <w:spacing w:after="0"/>
    </w:pPr>
    <w:rPr>
      <w:color w:val="4C4C4C" w:themeColor="text1"/>
    </w:rPr>
  </w:style>
  <w:style w:type="paragraph" w:styleId="Ttulo1">
    <w:name w:val="heading 1"/>
    <w:basedOn w:val="Normal"/>
    <w:next w:val="Normal"/>
    <w:link w:val="Ttulo1Car"/>
    <w:uiPriority w:val="9"/>
    <w:qFormat/>
    <w:rsid w:val="00011E81"/>
    <w:pPr>
      <w:keepNext/>
      <w:keepLines/>
      <w:spacing w:before="480"/>
      <w:outlineLvl w:val="0"/>
    </w:pPr>
    <w:rPr>
      <w:rFonts w:ascii="GalanoGrotesque-Bold" w:eastAsiaTheme="majorEastAsia" w:hAnsi="GalanoGrotesque-Bold" w:cstheme="majorBidi"/>
      <w:b/>
      <w:bCs/>
      <w:color w:val="4C4C4C"/>
      <w:sz w:val="40"/>
      <w:szCs w:val="28"/>
    </w:rPr>
  </w:style>
  <w:style w:type="paragraph" w:styleId="Ttulo2">
    <w:name w:val="heading 2"/>
    <w:basedOn w:val="Normal"/>
    <w:next w:val="Normal"/>
    <w:link w:val="Ttulo2Car"/>
    <w:uiPriority w:val="9"/>
    <w:unhideWhenUsed/>
    <w:qFormat/>
    <w:rsid w:val="009544A6"/>
    <w:pPr>
      <w:keepNext/>
      <w:keepLines/>
      <w:spacing w:before="200"/>
      <w:outlineLvl w:val="1"/>
    </w:pPr>
    <w:rPr>
      <w:rFonts w:ascii="GalanoGrotesque-Bold" w:eastAsiaTheme="majorEastAsia" w:hAnsi="GalanoGrotesque-Bold" w:cstheme="majorBidi"/>
      <w:b/>
      <w:bCs/>
      <w:color w:val="4C4C4C"/>
      <w:sz w:val="26"/>
      <w:szCs w:val="26"/>
    </w:rPr>
  </w:style>
  <w:style w:type="paragraph" w:styleId="Ttulo3">
    <w:name w:val="heading 3"/>
    <w:basedOn w:val="Normal"/>
    <w:next w:val="Normal"/>
    <w:link w:val="Ttulo3Car"/>
    <w:uiPriority w:val="9"/>
    <w:unhideWhenUsed/>
    <w:qFormat/>
    <w:rsid w:val="009544A6"/>
    <w:pPr>
      <w:keepNext/>
      <w:keepLines/>
      <w:outlineLvl w:val="2"/>
    </w:pPr>
    <w:rPr>
      <w:rFonts w:ascii="GalanoGrotesque-Light" w:eastAsiaTheme="majorEastAsia" w:hAnsi="GalanoGrotesque-Light" w:cstheme="majorBidi"/>
      <w:bCs/>
      <w:color w:val="4C4C4C"/>
      <w:sz w:val="24"/>
    </w:rPr>
  </w:style>
  <w:style w:type="paragraph" w:styleId="Ttulo4">
    <w:name w:val="heading 4"/>
    <w:basedOn w:val="Normal"/>
    <w:next w:val="Normal"/>
    <w:link w:val="Ttulo4Car"/>
    <w:uiPriority w:val="9"/>
    <w:unhideWhenUsed/>
    <w:qFormat/>
    <w:rsid w:val="00961DAD"/>
    <w:pPr>
      <w:keepNext/>
      <w:keepLines/>
      <w:spacing w:before="200"/>
      <w:outlineLvl w:val="3"/>
    </w:pPr>
    <w:rPr>
      <w:rFonts w:ascii="GalanoGrotesque-Bold" w:eastAsiaTheme="majorEastAsia" w:hAnsi="GalanoGrotesque-Bold" w:cstheme="majorBidi"/>
      <w:b/>
      <w:bCs/>
      <w:i/>
      <w:iCs/>
      <w:color w:val="8A8A8A" w:themeColor="text1" w:themeTint="A6"/>
    </w:rPr>
  </w:style>
  <w:style w:type="paragraph" w:styleId="Ttulo5">
    <w:name w:val="heading 5"/>
    <w:basedOn w:val="Normal"/>
    <w:next w:val="Normal"/>
    <w:link w:val="Ttulo5Car"/>
    <w:uiPriority w:val="9"/>
    <w:unhideWhenUsed/>
    <w:qFormat/>
    <w:rsid w:val="00892256"/>
    <w:pPr>
      <w:keepNext/>
      <w:keepLines/>
      <w:spacing w:before="200"/>
      <w:outlineLvl w:val="4"/>
    </w:pPr>
    <w:rPr>
      <w:rFonts w:ascii="Calibri" w:eastAsiaTheme="majorEastAsia" w:hAnsi="Calibri" w:cstheme="majorBidi"/>
      <w:color w:val="004C4F" w:themeColor="accent3" w:themeShade="80"/>
    </w:rPr>
  </w:style>
  <w:style w:type="paragraph" w:styleId="Ttulo6">
    <w:name w:val="heading 6"/>
    <w:basedOn w:val="Normal"/>
    <w:next w:val="Normal"/>
    <w:link w:val="Ttulo6Car"/>
    <w:uiPriority w:val="9"/>
    <w:unhideWhenUsed/>
    <w:qFormat/>
    <w:rsid w:val="00961DAD"/>
    <w:pPr>
      <w:keepNext/>
      <w:keepLines/>
      <w:spacing w:before="200"/>
      <w:outlineLvl w:val="5"/>
    </w:pPr>
    <w:rPr>
      <w:rFonts w:ascii="Calibri" w:eastAsiaTheme="majorEastAsia" w:hAnsi="Calibri" w:cstheme="majorBidi"/>
      <w:i/>
      <w:iCs/>
      <w:color w:val="666666" w:themeColor="text1" w:themeTint="D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claro-nfasis3">
    <w:name w:val="Light Shading Accent 3"/>
    <w:basedOn w:val="Tablanormal"/>
    <w:uiPriority w:val="60"/>
    <w:rsid w:val="00696E31"/>
    <w:pPr>
      <w:spacing w:after="0" w:line="240" w:lineRule="auto"/>
    </w:pPr>
    <w:rPr>
      <w:color w:val="EAD270"/>
    </w:rPr>
    <w:tblPr>
      <w:tblStyleRowBandSize w:val="1"/>
      <w:tblStyleColBandSize w:val="1"/>
      <w:tblBorders>
        <w:top w:val="single" w:sz="2" w:space="0" w:color="EAD270"/>
        <w:bottom w:val="single" w:sz="2" w:space="0" w:color="EAD270"/>
      </w:tblBorders>
    </w:tblPr>
    <w:tblStylePr w:type="firstRow">
      <w:pPr>
        <w:spacing w:before="0" w:after="0" w:line="240" w:lineRule="auto"/>
      </w:pPr>
      <w:rPr>
        <w:b/>
        <w:bCs/>
      </w:rPr>
      <w:tblPr/>
      <w:tcPr>
        <w:tcBorders>
          <w:top w:val="single" w:sz="8" w:space="0" w:color="009A9E" w:themeColor="accent3"/>
          <w:left w:val="nil"/>
          <w:bottom w:val="single" w:sz="8" w:space="0" w:color="009A9E" w:themeColor="accent3"/>
          <w:right w:val="nil"/>
          <w:insideH w:val="nil"/>
          <w:insideV w:val="nil"/>
        </w:tcBorders>
      </w:tcPr>
    </w:tblStylePr>
    <w:tblStylePr w:type="lastRow">
      <w:pPr>
        <w:spacing w:before="0" w:after="0" w:line="240" w:lineRule="auto"/>
      </w:pPr>
      <w:rPr>
        <w:b/>
        <w:bCs/>
      </w:rPr>
      <w:tblPr/>
      <w:tcPr>
        <w:tcBorders>
          <w:top w:val="single" w:sz="8" w:space="0" w:color="009A9E" w:themeColor="accent3"/>
          <w:left w:val="nil"/>
          <w:bottom w:val="single" w:sz="8" w:space="0" w:color="009A9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CFF" w:themeFill="accent3" w:themeFillTint="3F"/>
      </w:tcPr>
    </w:tblStylePr>
    <w:tblStylePr w:type="band1Horz">
      <w:tblPr/>
      <w:tcPr>
        <w:tcBorders>
          <w:left w:val="nil"/>
          <w:right w:val="nil"/>
          <w:insideH w:val="nil"/>
          <w:insideV w:val="nil"/>
        </w:tcBorders>
        <w:shd w:val="clear" w:color="auto" w:fill="A8FCFF" w:themeFill="accent3" w:themeFillTint="3F"/>
      </w:tcPr>
    </w:tblStylePr>
  </w:style>
  <w:style w:type="character" w:customStyle="1" w:styleId="Ttulo1Car">
    <w:name w:val="Título 1 Car"/>
    <w:basedOn w:val="Fuentedeprrafopredeter"/>
    <w:link w:val="Ttulo1"/>
    <w:uiPriority w:val="9"/>
    <w:rsid w:val="00011E81"/>
    <w:rPr>
      <w:rFonts w:ascii="GalanoGrotesque-Bold" w:eastAsiaTheme="majorEastAsia" w:hAnsi="GalanoGrotesque-Bold" w:cstheme="majorBidi"/>
      <w:b/>
      <w:bCs/>
      <w:color w:val="4C4C4C"/>
      <w:sz w:val="40"/>
      <w:szCs w:val="28"/>
    </w:rPr>
  </w:style>
  <w:style w:type="character" w:customStyle="1" w:styleId="Ttulo2Car">
    <w:name w:val="Título 2 Car"/>
    <w:basedOn w:val="Fuentedeprrafopredeter"/>
    <w:link w:val="Ttulo2"/>
    <w:uiPriority w:val="9"/>
    <w:rsid w:val="009544A6"/>
    <w:rPr>
      <w:rFonts w:ascii="GalanoGrotesque-Bold" w:eastAsiaTheme="majorEastAsia" w:hAnsi="GalanoGrotesque-Bold" w:cstheme="majorBidi"/>
      <w:b/>
      <w:bCs/>
      <w:color w:val="4C4C4C"/>
      <w:sz w:val="26"/>
      <w:szCs w:val="26"/>
    </w:rPr>
  </w:style>
  <w:style w:type="character" w:customStyle="1" w:styleId="Ttulo3Car">
    <w:name w:val="Título 3 Car"/>
    <w:basedOn w:val="Fuentedeprrafopredeter"/>
    <w:link w:val="Ttulo3"/>
    <w:uiPriority w:val="9"/>
    <w:rsid w:val="009544A6"/>
    <w:rPr>
      <w:rFonts w:ascii="GalanoGrotesque-Light" w:eastAsiaTheme="majorEastAsia" w:hAnsi="GalanoGrotesque-Light" w:cstheme="majorBidi"/>
      <w:bCs/>
      <w:color w:val="4C4C4C"/>
      <w:sz w:val="24"/>
    </w:rPr>
  </w:style>
  <w:style w:type="character" w:customStyle="1" w:styleId="Ttulo4Car">
    <w:name w:val="Título 4 Car"/>
    <w:basedOn w:val="Fuentedeprrafopredeter"/>
    <w:link w:val="Ttulo4"/>
    <w:uiPriority w:val="9"/>
    <w:rsid w:val="00961DAD"/>
    <w:rPr>
      <w:rFonts w:ascii="GalanoGrotesque-Bold" w:eastAsiaTheme="majorEastAsia" w:hAnsi="GalanoGrotesque-Bold" w:cstheme="majorBidi"/>
      <w:b/>
      <w:bCs/>
      <w:i/>
      <w:iCs/>
      <w:color w:val="8A8A8A" w:themeColor="text1" w:themeTint="A6"/>
    </w:rPr>
  </w:style>
  <w:style w:type="character" w:customStyle="1" w:styleId="Ttulo5Car">
    <w:name w:val="Título 5 Car"/>
    <w:basedOn w:val="Fuentedeprrafopredeter"/>
    <w:link w:val="Ttulo5"/>
    <w:uiPriority w:val="9"/>
    <w:rsid w:val="00892256"/>
    <w:rPr>
      <w:rFonts w:ascii="Calibri" w:eastAsiaTheme="majorEastAsia" w:hAnsi="Calibri" w:cstheme="majorBidi"/>
      <w:color w:val="004C4F" w:themeColor="accent3" w:themeShade="80"/>
    </w:rPr>
  </w:style>
  <w:style w:type="paragraph" w:styleId="Ttulo">
    <w:name w:val="Title"/>
    <w:basedOn w:val="Normal"/>
    <w:next w:val="Normal"/>
    <w:link w:val="TtuloCar"/>
    <w:uiPriority w:val="10"/>
    <w:qFormat/>
    <w:rsid w:val="00011E81"/>
    <w:pPr>
      <w:pBdr>
        <w:bottom w:val="single" w:sz="8" w:space="4" w:color="E4D845"/>
      </w:pBdr>
      <w:spacing w:after="300" w:line="240" w:lineRule="auto"/>
      <w:contextualSpacing/>
    </w:pPr>
    <w:rPr>
      <w:rFonts w:ascii="GalanoGrotesque-Medium" w:eastAsiaTheme="majorEastAsia" w:hAnsi="GalanoGrotesque-Medium" w:cstheme="majorBidi"/>
      <w:color w:val="E4D845"/>
      <w:spacing w:val="5"/>
      <w:kern w:val="28"/>
      <w:sz w:val="52"/>
      <w:szCs w:val="52"/>
    </w:rPr>
  </w:style>
  <w:style w:type="character" w:customStyle="1" w:styleId="TtuloCar">
    <w:name w:val="Título Car"/>
    <w:basedOn w:val="Fuentedeprrafopredeter"/>
    <w:link w:val="Ttulo"/>
    <w:uiPriority w:val="10"/>
    <w:rsid w:val="00011E81"/>
    <w:rPr>
      <w:rFonts w:ascii="GalanoGrotesque-Medium" w:eastAsiaTheme="majorEastAsia" w:hAnsi="GalanoGrotesque-Medium" w:cstheme="majorBidi"/>
      <w:color w:val="E4D845"/>
      <w:spacing w:val="5"/>
      <w:kern w:val="28"/>
      <w:sz w:val="52"/>
      <w:szCs w:val="52"/>
    </w:rPr>
  </w:style>
  <w:style w:type="paragraph" w:styleId="Sinespaciado">
    <w:name w:val="No Spacing"/>
    <w:uiPriority w:val="1"/>
    <w:qFormat/>
    <w:rsid w:val="00696E31"/>
    <w:pPr>
      <w:spacing w:after="0" w:line="240" w:lineRule="auto"/>
    </w:pPr>
    <w:rPr>
      <w:color w:val="4C4C4C" w:themeColor="text1"/>
    </w:rPr>
  </w:style>
  <w:style w:type="paragraph" w:styleId="Encabezado">
    <w:name w:val="header"/>
    <w:basedOn w:val="Normal"/>
    <w:link w:val="EncabezadoCar"/>
    <w:uiPriority w:val="99"/>
    <w:unhideWhenUsed/>
    <w:rsid w:val="00011E8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11E81"/>
    <w:rPr>
      <w:color w:val="4C4C4C" w:themeColor="text1"/>
    </w:rPr>
  </w:style>
  <w:style w:type="paragraph" w:styleId="Piedepgina">
    <w:name w:val="footer"/>
    <w:basedOn w:val="Normal"/>
    <w:link w:val="PiedepginaCar"/>
    <w:uiPriority w:val="99"/>
    <w:unhideWhenUsed/>
    <w:rsid w:val="00011E8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E81"/>
    <w:rPr>
      <w:color w:val="4C4C4C" w:themeColor="text1"/>
    </w:rPr>
  </w:style>
  <w:style w:type="paragraph" w:styleId="Textodeglobo">
    <w:name w:val="Balloon Text"/>
    <w:basedOn w:val="Normal"/>
    <w:link w:val="TextodegloboCar"/>
    <w:uiPriority w:val="99"/>
    <w:semiHidden/>
    <w:unhideWhenUsed/>
    <w:rsid w:val="00011E8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1E81"/>
    <w:rPr>
      <w:rFonts w:ascii="Tahoma" w:hAnsi="Tahoma" w:cs="Tahoma"/>
      <w:color w:val="4C4C4C" w:themeColor="text1"/>
      <w:sz w:val="16"/>
      <w:szCs w:val="16"/>
    </w:rPr>
  </w:style>
  <w:style w:type="character" w:customStyle="1" w:styleId="Ttulo6Car">
    <w:name w:val="Título 6 Car"/>
    <w:basedOn w:val="Fuentedeprrafopredeter"/>
    <w:link w:val="Ttulo6"/>
    <w:uiPriority w:val="9"/>
    <w:rsid w:val="00961DAD"/>
    <w:rPr>
      <w:rFonts w:ascii="Calibri" w:eastAsiaTheme="majorEastAsia" w:hAnsi="Calibri" w:cstheme="majorBidi"/>
      <w:i/>
      <w:iCs/>
      <w:color w:val="666666" w:themeColor="text1" w:themeTint="D9"/>
    </w:rPr>
  </w:style>
  <w:style w:type="character" w:styleId="Hipervnculo">
    <w:name w:val="Hyperlink"/>
    <w:basedOn w:val="Fuentedeprrafopredeter"/>
    <w:uiPriority w:val="99"/>
    <w:unhideWhenUsed/>
    <w:rsid w:val="00A60046"/>
    <w:rPr>
      <w:color w:val="A5A5A5" w:themeColor="hyperlink"/>
      <w:u w:val="single"/>
    </w:rPr>
  </w:style>
  <w:style w:type="paragraph" w:customStyle="1" w:styleId="Piepgina">
    <w:name w:val="Pie página"/>
    <w:basedOn w:val="Piedepgina"/>
    <w:link w:val="PiepginaCar"/>
    <w:qFormat/>
    <w:rsid w:val="00816CD6"/>
    <w:pPr>
      <w:jc w:val="center"/>
    </w:pPr>
    <w:rPr>
      <w:rFonts w:ascii="Calibri" w:hAnsi="Calibri"/>
      <w:color w:val="4C4C4C"/>
      <w:sz w:val="16"/>
      <w:szCs w:val="16"/>
    </w:rPr>
  </w:style>
  <w:style w:type="character" w:customStyle="1" w:styleId="PiepginaCar">
    <w:name w:val="Pie página Car"/>
    <w:basedOn w:val="PiedepginaCar"/>
    <w:link w:val="Piepgina"/>
    <w:rsid w:val="00816CD6"/>
    <w:rPr>
      <w:rFonts w:ascii="Calibri" w:hAnsi="Calibri"/>
      <w:color w:val="4C4C4C"/>
      <w:sz w:val="16"/>
      <w:szCs w:val="16"/>
    </w:rPr>
  </w:style>
  <w:style w:type="table" w:styleId="Tablaconcuadrcula">
    <w:name w:val="Table Grid"/>
    <w:basedOn w:val="Tablanormal"/>
    <w:uiPriority w:val="1"/>
    <w:rsid w:val="00C9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99"/>
    <w:qFormat/>
    <w:rsid w:val="000425EC"/>
    <w:pPr>
      <w:spacing w:after="240" w:line="300" w:lineRule="auto"/>
      <w:ind w:left="720"/>
      <w:contextualSpacing/>
    </w:pPr>
    <w:rPr>
      <w:rFonts w:ascii="Arial" w:eastAsia="Times New Roman" w:hAnsi="Arial" w:cs="Times New Roman"/>
      <w:color w:val="1B1D1C"/>
      <w:sz w:val="20"/>
      <w:szCs w:val="21"/>
      <w:lang w:val="en-US" w:eastAsia="ja-JP"/>
    </w:rPr>
  </w:style>
  <w:style w:type="character" w:customStyle="1" w:styleId="PrrafodelistaCar">
    <w:name w:val="Párrafo de lista Car"/>
    <w:basedOn w:val="Fuentedeprrafopredeter"/>
    <w:link w:val="Prrafodelista"/>
    <w:uiPriority w:val="34"/>
    <w:locked/>
    <w:rsid w:val="000425EC"/>
    <w:rPr>
      <w:rFonts w:ascii="Arial" w:eastAsia="Times New Roman" w:hAnsi="Arial" w:cs="Times New Roman"/>
      <w:color w:val="1B1D1C"/>
      <w:sz w:val="20"/>
      <w:szCs w:val="21"/>
      <w:lang w:val="en-US" w:eastAsia="ja-JP"/>
    </w:rPr>
  </w:style>
  <w:style w:type="table" w:customStyle="1" w:styleId="Tablaconcuadrcula4">
    <w:name w:val="Tabla con cuadrícula4"/>
    <w:basedOn w:val="Tablanormal"/>
    <w:next w:val="Tablaconcuadrcula"/>
    <w:uiPriority w:val="1"/>
    <w:rsid w:val="000425EC"/>
    <w:pPr>
      <w:spacing w:after="0" w:line="240" w:lineRule="auto"/>
    </w:pPr>
    <w:rPr>
      <w:rFonts w:ascii="Arial" w:eastAsia="Times New Roman" w:hAnsi="Arial" w:cs="Times New Roman"/>
      <w:sz w:val="21"/>
      <w:szCs w:val="21"/>
      <w:lang w:val="en-US" w:eastAsia="ja-JP"/>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paragraph" w:customStyle="1" w:styleId="Encabezado1">
    <w:name w:val="Encabezado 1"/>
    <w:basedOn w:val="Normal"/>
    <w:next w:val="Normal"/>
    <w:uiPriority w:val="9"/>
    <w:qFormat/>
    <w:rsid w:val="000425EC"/>
    <w:pPr>
      <w:suppressAutoHyphens/>
      <w:spacing w:before="300" w:after="40"/>
      <w:ind w:left="360" w:hanging="360"/>
      <w:jc w:val="both"/>
      <w:outlineLvl w:val="0"/>
    </w:pPr>
    <w:rPr>
      <w:rFonts w:ascii="Calibri" w:eastAsiaTheme="minorEastAsia" w:hAnsi="Calibri" w:cs="Calibri"/>
      <w:smallCaps/>
      <w:color w:val="00000A"/>
      <w:spacing w:val="5"/>
      <w:sz w:val="32"/>
      <w:szCs w:val="32"/>
    </w:rPr>
  </w:style>
  <w:style w:type="paragraph" w:styleId="HTMLconformatoprevio">
    <w:name w:val="HTML Preformatted"/>
    <w:basedOn w:val="Normal"/>
    <w:link w:val="HTMLconformatoprevioCar"/>
    <w:uiPriority w:val="99"/>
    <w:unhideWhenUsed/>
    <w:rsid w:val="00042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eastAsia="Times New Roman" w:hAnsi="Courier New" w:cs="Courier New"/>
      <w:color w:val="auto"/>
      <w:sz w:val="20"/>
      <w:szCs w:val="20"/>
    </w:rPr>
  </w:style>
  <w:style w:type="character" w:customStyle="1" w:styleId="HTMLconformatoprevioCar">
    <w:name w:val="HTML con formato previo Car"/>
    <w:basedOn w:val="Fuentedeprrafopredeter"/>
    <w:link w:val="HTMLconformatoprevio"/>
    <w:uiPriority w:val="99"/>
    <w:rsid w:val="000425EC"/>
    <w:rPr>
      <w:rFonts w:ascii="Courier New" w:eastAsia="Times New Roman" w:hAnsi="Courier New" w:cs="Courier New"/>
      <w:sz w:val="20"/>
      <w:szCs w:val="20"/>
    </w:rPr>
  </w:style>
  <w:style w:type="character" w:styleId="Refdecomentario">
    <w:name w:val="annotation reference"/>
    <w:basedOn w:val="Fuentedeprrafopredeter"/>
    <w:uiPriority w:val="99"/>
    <w:semiHidden/>
    <w:unhideWhenUsed/>
    <w:rsid w:val="00693127"/>
    <w:rPr>
      <w:sz w:val="16"/>
      <w:szCs w:val="16"/>
    </w:rPr>
  </w:style>
  <w:style w:type="paragraph" w:styleId="Textocomentario">
    <w:name w:val="annotation text"/>
    <w:basedOn w:val="Normal"/>
    <w:link w:val="TextocomentarioCar"/>
    <w:uiPriority w:val="99"/>
    <w:semiHidden/>
    <w:unhideWhenUsed/>
    <w:rsid w:val="006931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3127"/>
    <w:rPr>
      <w:color w:val="4C4C4C" w:themeColor="text1"/>
      <w:sz w:val="20"/>
      <w:szCs w:val="20"/>
    </w:rPr>
  </w:style>
  <w:style w:type="paragraph" w:styleId="Asuntodelcomentario">
    <w:name w:val="annotation subject"/>
    <w:basedOn w:val="Textocomentario"/>
    <w:next w:val="Textocomentario"/>
    <w:link w:val="AsuntodelcomentarioCar"/>
    <w:uiPriority w:val="99"/>
    <w:semiHidden/>
    <w:unhideWhenUsed/>
    <w:rsid w:val="00693127"/>
    <w:rPr>
      <w:b/>
      <w:bCs/>
    </w:rPr>
  </w:style>
  <w:style w:type="character" w:customStyle="1" w:styleId="AsuntodelcomentarioCar">
    <w:name w:val="Asunto del comentario Car"/>
    <w:basedOn w:val="TextocomentarioCar"/>
    <w:link w:val="Asuntodelcomentario"/>
    <w:uiPriority w:val="99"/>
    <w:semiHidden/>
    <w:rsid w:val="00693127"/>
    <w:rPr>
      <w:b/>
      <w:bCs/>
      <w:color w:val="4C4C4C" w:themeColor="text1"/>
      <w:sz w:val="20"/>
      <w:szCs w:val="20"/>
    </w:rPr>
  </w:style>
  <w:style w:type="table" w:customStyle="1" w:styleId="Tablaconcuadrcula1">
    <w:name w:val="Tabla con cuadrícula1"/>
    <w:basedOn w:val="Tablanormal"/>
    <w:next w:val="Tablaconcuadrcula"/>
    <w:uiPriority w:val="39"/>
    <w:rsid w:val="00042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C1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347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http://www.agenerg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AIET">
      <a:dk1>
        <a:srgbClr val="4C4C4C"/>
      </a:dk1>
      <a:lt1>
        <a:srgbClr val="CBCBCB"/>
      </a:lt1>
      <a:dk2>
        <a:srgbClr val="4C4C4C"/>
      </a:dk2>
      <a:lt2>
        <a:srgbClr val="E4D845"/>
      </a:lt2>
      <a:accent1>
        <a:srgbClr val="005152"/>
      </a:accent1>
      <a:accent2>
        <a:srgbClr val="C5B91D"/>
      </a:accent2>
      <a:accent3>
        <a:srgbClr val="009A9E"/>
      </a:accent3>
      <a:accent4>
        <a:srgbClr val="6565FF"/>
      </a:accent4>
      <a:accent5>
        <a:srgbClr val="99CC00"/>
      </a:accent5>
      <a:accent6>
        <a:srgbClr val="C5B91D"/>
      </a:accent6>
      <a:hlink>
        <a:srgbClr val="A5A5A5"/>
      </a:hlink>
      <a:folHlink>
        <a:srgbClr val="7F7F7F"/>
      </a:folHlink>
    </a:clrScheme>
    <a:fontScheme name="AIET">
      <a:majorFont>
        <a:latin typeface="Tahom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2E936A655C7054CBB00F2481A451185" ma:contentTypeVersion="4" ma:contentTypeDescription="Crear nuevo documento." ma:contentTypeScope="" ma:versionID="5d72aade44a413fa2718a0058f081809">
  <xsd:schema xmlns:xsd="http://www.w3.org/2001/XMLSchema" xmlns:xs="http://www.w3.org/2001/XMLSchema" xmlns:p="http://schemas.microsoft.com/office/2006/metadata/properties" xmlns:ns2="4b54c06c-8b30-47db-83e9-5a2e32140715" targetNamespace="http://schemas.microsoft.com/office/2006/metadata/properties" ma:root="true" ma:fieldsID="51943c9302153aba909cd053826c1e65" ns2:_="">
    <xsd:import namespace="4b54c06c-8b30-47db-83e9-5a2e321407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4c06c-8b30-47db-83e9-5a2e32140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C512EA-2C3D-48A6-9CFA-3968042397D4}">
  <ds:schemaRefs>
    <ds:schemaRef ds:uri="http://schemas.openxmlformats.org/officeDocument/2006/bibliography"/>
  </ds:schemaRefs>
</ds:datastoreItem>
</file>

<file path=customXml/itemProps2.xml><?xml version="1.0" encoding="utf-8"?>
<ds:datastoreItem xmlns:ds="http://schemas.openxmlformats.org/officeDocument/2006/customXml" ds:itemID="{510BB48B-F85F-4DF2-9AD5-C2259650D0DA}"/>
</file>

<file path=customXml/itemProps3.xml><?xml version="1.0" encoding="utf-8"?>
<ds:datastoreItem xmlns:ds="http://schemas.openxmlformats.org/officeDocument/2006/customXml" ds:itemID="{F9B518B0-39F5-42ED-BBB9-D1243B6FEF99}"/>
</file>

<file path=customXml/itemProps4.xml><?xml version="1.0" encoding="utf-8"?>
<ds:datastoreItem xmlns:ds="http://schemas.openxmlformats.org/officeDocument/2006/customXml" ds:itemID="{A3302C7F-10C5-463B-92B7-82F2E0AC844A}"/>
</file>

<file path=docProps/app.xml><?xml version="1.0" encoding="utf-8"?>
<Properties xmlns="http://schemas.openxmlformats.org/officeDocument/2006/extended-properties" xmlns:vt="http://schemas.openxmlformats.org/officeDocument/2006/docPropsVTypes">
  <Template>Normal.dotm</Template>
  <TotalTime>9</TotalTime>
  <Pages>2</Pages>
  <Words>779</Words>
  <Characters>4290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lvillalba</dc:creator>
  <cp:lastModifiedBy>Maite Delamo del Castillo</cp:lastModifiedBy>
  <cp:revision>6</cp:revision>
  <cp:lastPrinted>2019-03-13T12:12:00Z</cp:lastPrinted>
  <dcterms:created xsi:type="dcterms:W3CDTF">2025-03-12T10:18:00Z</dcterms:created>
  <dcterms:modified xsi:type="dcterms:W3CDTF">2025-06-09T09:45:00Z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0x01010072E936A655C7054CBB00F2481A451185</vt:lpwstr>
  </property>
</Properties>
</file>